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color w:val="auto"/>
          <w:highlight w:val="none"/>
        </w:rPr>
      </w:pPr>
    </w:p>
    <w:p>
      <w:pPr>
        <w:jc w:val="center"/>
        <w:rPr>
          <w:rFonts w:hint="eastAsia" w:ascii="宋体" w:hAnsi="宋体" w:cs="宋体"/>
          <w:b/>
          <w:color w:val="auto"/>
          <w:sz w:val="52"/>
          <w:highlight w:val="none"/>
        </w:rPr>
      </w:pPr>
      <w:bookmarkStart w:id="0" w:name="OLE_LINK4"/>
    </w:p>
    <w:p>
      <w:pPr>
        <w:jc w:val="center"/>
        <w:rPr>
          <w:rFonts w:hint="eastAsia" w:ascii="宋体" w:hAnsi="宋体" w:cs="宋体"/>
          <w:b/>
          <w:color w:val="auto"/>
          <w:sz w:val="52"/>
          <w:highlight w:val="none"/>
        </w:rPr>
      </w:pPr>
    </w:p>
    <w:p>
      <w:pPr>
        <w:spacing w:line="360" w:lineRule="auto"/>
        <w:jc w:val="center"/>
        <w:rPr>
          <w:rFonts w:hint="eastAsia" w:ascii="宋体" w:hAnsi="宋体" w:cs="宋体"/>
          <w:b/>
          <w:color w:val="auto"/>
          <w:sz w:val="52"/>
          <w:highlight w:val="none"/>
          <w:lang w:eastAsia="zh-CN"/>
        </w:rPr>
      </w:pPr>
      <w:r>
        <w:rPr>
          <w:rFonts w:hint="eastAsia" w:ascii="宋体" w:hAnsi="宋体" w:cs="宋体"/>
          <w:b/>
          <w:color w:val="auto"/>
          <w:sz w:val="52"/>
          <w:highlight w:val="none"/>
          <w:lang w:eastAsia="zh-CN"/>
        </w:rPr>
        <w:t>吉林省消防救援总队2023年战勤保障</w:t>
      </w:r>
    </w:p>
    <w:p>
      <w:pPr>
        <w:spacing w:line="360" w:lineRule="auto"/>
        <w:jc w:val="center"/>
        <w:rPr>
          <w:rFonts w:hint="eastAsia" w:ascii="宋体" w:hAnsi="宋体" w:cs="宋体"/>
          <w:b/>
          <w:color w:val="auto"/>
          <w:sz w:val="52"/>
          <w:highlight w:val="none"/>
        </w:rPr>
      </w:pPr>
      <w:r>
        <w:rPr>
          <w:rFonts w:hint="eastAsia" w:ascii="宋体" w:hAnsi="宋体" w:cs="宋体"/>
          <w:b/>
          <w:color w:val="auto"/>
          <w:sz w:val="52"/>
          <w:highlight w:val="none"/>
          <w:lang w:eastAsia="zh-CN"/>
        </w:rPr>
        <w:t>物资采购项目（</w:t>
      </w:r>
      <w:r>
        <w:rPr>
          <w:rFonts w:hint="eastAsia" w:ascii="宋体" w:hAnsi="宋体" w:cs="宋体"/>
          <w:b/>
          <w:color w:val="auto"/>
          <w:sz w:val="52"/>
          <w:highlight w:val="none"/>
          <w:lang w:val="en-US" w:eastAsia="zh-CN"/>
        </w:rPr>
        <w:t>二</w:t>
      </w:r>
      <w:r>
        <w:rPr>
          <w:rFonts w:hint="eastAsia" w:ascii="宋体" w:hAnsi="宋体" w:cs="宋体"/>
          <w:b/>
          <w:color w:val="auto"/>
          <w:sz w:val="52"/>
          <w:highlight w:val="none"/>
          <w:lang w:eastAsia="zh-CN"/>
        </w:rPr>
        <w:t>）（</w:t>
      </w:r>
      <w:r>
        <w:rPr>
          <w:rFonts w:hint="eastAsia" w:ascii="宋体" w:hAnsi="宋体" w:cs="宋体"/>
          <w:b/>
          <w:color w:val="auto"/>
          <w:sz w:val="52"/>
          <w:highlight w:val="none"/>
          <w:lang w:val="en-US" w:eastAsia="zh-CN"/>
        </w:rPr>
        <w:t>四次</w:t>
      </w:r>
      <w:r>
        <w:rPr>
          <w:rFonts w:hint="eastAsia" w:ascii="宋体" w:hAnsi="宋体" w:cs="宋体"/>
          <w:b/>
          <w:color w:val="auto"/>
          <w:sz w:val="52"/>
          <w:highlight w:val="none"/>
          <w:lang w:eastAsia="zh-CN"/>
        </w:rPr>
        <w:t>）</w:t>
      </w:r>
      <w:r>
        <w:rPr>
          <w:rFonts w:hint="eastAsia" w:ascii="宋体" w:hAnsi="宋体" w:cs="宋体"/>
          <w:b/>
          <w:color w:val="auto"/>
          <w:sz w:val="52"/>
          <w:highlight w:val="none"/>
          <w:lang w:val="en-US" w:eastAsia="zh-CN"/>
        </w:rPr>
        <w:t xml:space="preserve"> </w:t>
      </w:r>
    </w:p>
    <w:p>
      <w:pPr>
        <w:pStyle w:val="9"/>
        <w:spacing w:line="360" w:lineRule="auto"/>
        <w:jc w:val="center"/>
        <w:rPr>
          <w:rFonts w:hint="eastAsia" w:ascii="宋体" w:hAnsi="宋体" w:eastAsia="宋体" w:cs="宋体"/>
          <w:b/>
          <w:color w:val="auto"/>
          <w:kern w:val="2"/>
          <w:sz w:val="52"/>
          <w:szCs w:val="24"/>
          <w:highlight w:val="none"/>
          <w:lang w:val="en-US" w:eastAsia="zh-CN" w:bidi="ar-SA"/>
        </w:rPr>
      </w:pPr>
      <w:r>
        <w:rPr>
          <w:rFonts w:hint="eastAsia" w:ascii="宋体" w:hAnsi="宋体" w:eastAsia="宋体" w:cs="宋体"/>
          <w:b/>
          <w:color w:val="auto"/>
          <w:kern w:val="2"/>
          <w:sz w:val="52"/>
          <w:szCs w:val="24"/>
          <w:highlight w:val="none"/>
          <w:lang w:val="en-US" w:eastAsia="zh-CN" w:bidi="ar-SA"/>
        </w:rPr>
        <w:t>第九标段</w:t>
      </w:r>
    </w:p>
    <w:p>
      <w:pPr>
        <w:pStyle w:val="9"/>
        <w:rPr>
          <w:rFonts w:hint="eastAsia"/>
          <w:color w:val="auto"/>
          <w:highlight w:val="none"/>
        </w:rPr>
      </w:pPr>
    </w:p>
    <w:p>
      <w:pPr>
        <w:pStyle w:val="9"/>
        <w:rPr>
          <w:rFonts w:hint="eastAsia" w:ascii="宋体" w:hAnsi="宋体" w:cs="宋体"/>
          <w:b/>
          <w:color w:val="auto"/>
          <w:sz w:val="52"/>
          <w:szCs w:val="52"/>
          <w:highlight w:val="none"/>
        </w:rPr>
      </w:pPr>
    </w:p>
    <w:p>
      <w:pPr>
        <w:pStyle w:val="9"/>
        <w:rPr>
          <w:rFonts w:hint="eastAsia" w:ascii="宋体" w:hAnsi="宋体" w:cs="宋体"/>
          <w:b/>
          <w:color w:val="auto"/>
          <w:sz w:val="52"/>
          <w:szCs w:val="52"/>
          <w:highlight w:val="none"/>
        </w:rPr>
      </w:pPr>
    </w:p>
    <w:p>
      <w:pPr>
        <w:jc w:val="center"/>
        <w:rPr>
          <w:rFonts w:hint="eastAsia" w:ascii="宋体" w:hAnsi="宋体" w:cs="宋体"/>
          <w:color w:val="auto"/>
          <w:spacing w:val="48"/>
          <w:sz w:val="48"/>
          <w:highlight w:val="none"/>
        </w:rPr>
      </w:pPr>
      <w:r>
        <w:rPr>
          <w:rFonts w:hint="eastAsia" w:ascii="宋体" w:hAnsi="宋体" w:cs="宋体"/>
          <w:b/>
          <w:color w:val="auto"/>
          <w:spacing w:val="48"/>
          <w:sz w:val="72"/>
          <w:szCs w:val="72"/>
          <w:highlight w:val="none"/>
        </w:rPr>
        <w:t>招标文件</w:t>
      </w:r>
    </w:p>
    <w:p>
      <w:pPr>
        <w:spacing w:before="100"/>
        <w:jc w:val="center"/>
        <w:rPr>
          <w:rFonts w:hint="eastAsia" w:ascii="宋体" w:hAnsi="宋体" w:eastAsia="宋体" w:cs="宋体"/>
          <w:b/>
          <w:color w:val="auto"/>
          <w:sz w:val="30"/>
          <w:highlight w:val="none"/>
          <w:lang w:val="en-US" w:eastAsia="zh-CN"/>
        </w:rPr>
      </w:pPr>
      <w:r>
        <w:rPr>
          <w:rFonts w:hint="eastAsia" w:ascii="宋体" w:hAnsi="宋体" w:cs="宋体"/>
          <w:b/>
          <w:color w:val="auto"/>
          <w:sz w:val="30"/>
          <w:highlight w:val="none"/>
        </w:rPr>
        <w:t>招标项目编号：</w:t>
      </w:r>
      <w:r>
        <w:rPr>
          <w:rFonts w:hint="eastAsia" w:ascii="宋体" w:hAnsi="宋体" w:cs="宋体"/>
          <w:b/>
          <w:color w:val="auto"/>
          <w:sz w:val="30"/>
          <w:highlight w:val="none"/>
          <w:lang w:val="en-US" w:eastAsia="zh-CN"/>
        </w:rPr>
        <w:t xml:space="preserve">ZYGJ-CZHW-23105-9 </w:t>
      </w:r>
    </w:p>
    <w:p>
      <w:pPr>
        <w:spacing w:before="100"/>
        <w:ind w:firstLine="2988" w:firstLineChars="992"/>
        <w:rPr>
          <w:rFonts w:hint="eastAsia" w:ascii="宋体" w:hAnsi="宋体" w:cs="宋体"/>
          <w:b/>
          <w:color w:val="auto"/>
          <w:sz w:val="30"/>
          <w:highlight w:val="none"/>
        </w:rPr>
      </w:pPr>
    </w:p>
    <w:p>
      <w:pPr>
        <w:spacing w:before="100"/>
        <w:ind w:firstLine="2235"/>
        <w:rPr>
          <w:rFonts w:hint="eastAsia" w:ascii="宋体" w:hAnsi="宋体" w:cs="宋体"/>
          <w:b/>
          <w:color w:val="auto"/>
          <w:sz w:val="32"/>
          <w:highlight w:val="none"/>
        </w:rPr>
      </w:pPr>
    </w:p>
    <w:p>
      <w:pPr>
        <w:spacing w:before="100"/>
        <w:rPr>
          <w:rFonts w:hint="eastAsia" w:ascii="宋体" w:hAnsi="宋体" w:cs="宋体"/>
          <w:b/>
          <w:color w:val="auto"/>
          <w:sz w:val="32"/>
          <w:highlight w:val="none"/>
        </w:rPr>
      </w:pPr>
    </w:p>
    <w:p>
      <w:pPr>
        <w:spacing w:before="100"/>
        <w:ind w:firstLine="2235"/>
        <w:rPr>
          <w:rFonts w:hint="eastAsia" w:ascii="宋体" w:hAnsi="宋体" w:cs="宋体"/>
          <w:b/>
          <w:color w:val="auto"/>
          <w:sz w:val="32"/>
          <w:highlight w:val="none"/>
        </w:rPr>
      </w:pPr>
    </w:p>
    <w:p>
      <w:pPr>
        <w:pStyle w:val="6"/>
        <w:outlineLvl w:val="9"/>
        <w:rPr>
          <w:rFonts w:hint="eastAsia"/>
          <w:color w:val="auto"/>
          <w:highlight w:val="none"/>
        </w:rPr>
      </w:pPr>
    </w:p>
    <w:p>
      <w:pPr>
        <w:spacing w:before="100"/>
        <w:ind w:firstLine="2249" w:firstLineChars="700"/>
        <w:rPr>
          <w:rFonts w:hint="eastAsia" w:ascii="宋体" w:hAnsi="宋体" w:cs="宋体"/>
          <w:b/>
          <w:color w:val="auto"/>
          <w:sz w:val="32"/>
          <w:highlight w:val="none"/>
        </w:rPr>
      </w:pPr>
      <w:r>
        <w:rPr>
          <w:rFonts w:hint="eastAsia" w:ascii="宋体" w:hAnsi="宋体" w:cs="宋体"/>
          <w:b/>
          <w:color w:val="auto"/>
          <w:sz w:val="32"/>
          <w:highlight w:val="none"/>
          <w:lang w:eastAsia="zh-CN"/>
        </w:rPr>
        <w:t>采购</w:t>
      </w:r>
      <w:r>
        <w:rPr>
          <w:rFonts w:hint="eastAsia" w:ascii="宋体" w:hAnsi="宋体" w:cs="宋体"/>
          <w:b/>
          <w:color w:val="auto"/>
          <w:sz w:val="32"/>
          <w:highlight w:val="none"/>
        </w:rPr>
        <w:t>人：吉林省消防救援总队</w:t>
      </w:r>
    </w:p>
    <w:p>
      <w:pPr>
        <w:spacing w:before="100"/>
        <w:jc w:val="center"/>
        <w:rPr>
          <w:rFonts w:hint="eastAsia" w:ascii="宋体" w:hAnsi="宋体" w:cs="宋体"/>
          <w:b/>
          <w:color w:val="auto"/>
          <w:sz w:val="32"/>
          <w:highlight w:val="none"/>
        </w:rPr>
      </w:pPr>
    </w:p>
    <w:p>
      <w:pPr>
        <w:spacing w:before="100"/>
        <w:jc w:val="center"/>
        <w:outlineLvl w:val="0"/>
        <w:rPr>
          <w:rFonts w:hint="eastAsia" w:ascii="宋体" w:hAnsi="宋体" w:cs="宋体"/>
          <w:b/>
          <w:i/>
          <w:iCs/>
          <w:color w:val="auto"/>
          <w:sz w:val="32"/>
          <w:highlight w:val="none"/>
        </w:rPr>
      </w:pPr>
      <w:r>
        <w:rPr>
          <w:rFonts w:hint="eastAsia" w:ascii="宋体" w:hAnsi="宋体" w:cs="宋体"/>
          <w:b/>
          <w:color w:val="auto"/>
          <w:sz w:val="32"/>
          <w:highlight w:val="none"/>
        </w:rPr>
        <w:t xml:space="preserve">        </w:t>
      </w:r>
      <w:bookmarkStart w:id="1" w:name="_Toc8474"/>
      <w:bookmarkStart w:id="2" w:name="_Toc17385"/>
      <w:r>
        <w:rPr>
          <w:rFonts w:hint="eastAsia" w:ascii="宋体" w:hAnsi="宋体" w:cs="宋体"/>
          <w:b/>
          <w:color w:val="auto"/>
          <w:sz w:val="32"/>
          <w:highlight w:val="none"/>
          <w:lang w:eastAsia="zh-CN"/>
        </w:rPr>
        <w:t>采购</w:t>
      </w:r>
      <w:r>
        <w:rPr>
          <w:rFonts w:hint="eastAsia" w:ascii="宋体" w:hAnsi="宋体" w:cs="宋体"/>
          <w:b/>
          <w:color w:val="auto"/>
          <w:sz w:val="32"/>
          <w:highlight w:val="none"/>
        </w:rPr>
        <w:t>代理机构：中峪国际项目管理有限公司</w:t>
      </w:r>
      <w:bookmarkEnd w:id="1"/>
      <w:bookmarkEnd w:id="2"/>
      <w:r>
        <w:rPr>
          <w:rFonts w:hint="eastAsia" w:ascii="宋体" w:hAnsi="宋体" w:cs="宋体"/>
          <w:b/>
          <w:color w:val="auto"/>
          <w:sz w:val="32"/>
          <w:highlight w:val="none"/>
        </w:rPr>
        <w:t xml:space="preserve">  </w:t>
      </w:r>
    </w:p>
    <w:p>
      <w:pPr>
        <w:spacing w:before="100"/>
        <w:jc w:val="center"/>
        <w:rPr>
          <w:rFonts w:hint="eastAsia" w:ascii="宋体" w:hAnsi="宋体" w:cs="宋体"/>
          <w:b/>
          <w:i/>
          <w:iCs/>
          <w:color w:val="auto"/>
          <w:sz w:val="32"/>
          <w:highlight w:val="none"/>
        </w:rPr>
      </w:pPr>
    </w:p>
    <w:p>
      <w:pPr>
        <w:spacing w:before="100"/>
        <w:jc w:val="center"/>
        <w:rPr>
          <w:rFonts w:hint="eastAsia" w:ascii="宋体" w:hAnsi="宋体" w:cs="宋体"/>
          <w:b/>
          <w:color w:val="auto"/>
          <w:sz w:val="32"/>
          <w:highlight w:val="none"/>
        </w:rPr>
      </w:pPr>
      <w:r>
        <w:rPr>
          <w:rFonts w:hint="eastAsia" w:ascii="宋体" w:hAnsi="宋体" w:cs="宋体"/>
          <w:b/>
          <w:color w:val="auto"/>
          <w:sz w:val="32"/>
          <w:highlight w:val="none"/>
        </w:rPr>
        <w:t>二零二</w:t>
      </w:r>
      <w:r>
        <w:rPr>
          <w:rFonts w:hint="eastAsia" w:ascii="宋体" w:hAnsi="宋体" w:cs="宋体"/>
          <w:b/>
          <w:color w:val="auto"/>
          <w:sz w:val="32"/>
          <w:highlight w:val="none"/>
          <w:lang w:val="en-US" w:eastAsia="zh-CN"/>
        </w:rPr>
        <w:t>四</w:t>
      </w:r>
      <w:r>
        <w:rPr>
          <w:rFonts w:hint="eastAsia" w:ascii="宋体" w:hAnsi="宋体" w:cs="宋体"/>
          <w:b/>
          <w:color w:val="auto"/>
          <w:sz w:val="32"/>
          <w:highlight w:val="none"/>
        </w:rPr>
        <w:t>年</w:t>
      </w:r>
      <w:r>
        <w:rPr>
          <w:rFonts w:hint="eastAsia" w:ascii="宋体" w:hAnsi="宋体" w:cs="宋体"/>
          <w:b/>
          <w:color w:val="auto"/>
          <w:sz w:val="32"/>
          <w:highlight w:val="none"/>
          <w:lang w:val="en-US" w:eastAsia="zh-CN"/>
        </w:rPr>
        <w:t>一</w:t>
      </w:r>
      <w:r>
        <w:rPr>
          <w:rFonts w:hint="eastAsia" w:ascii="宋体" w:hAnsi="宋体" w:cs="宋体"/>
          <w:b/>
          <w:color w:val="auto"/>
          <w:sz w:val="32"/>
          <w:highlight w:val="none"/>
        </w:rPr>
        <w:t>月</w:t>
      </w:r>
    </w:p>
    <w:p>
      <w:pPr>
        <w:widowControl/>
        <w:autoSpaceDE w:val="0"/>
        <w:autoSpaceDN w:val="0"/>
        <w:adjustRightInd w:val="0"/>
        <w:spacing w:line="360" w:lineRule="auto"/>
        <w:ind w:right="-28" w:firstLine="551" w:firstLineChars="196"/>
        <w:jc w:val="left"/>
        <w:textAlignment w:val="bottom"/>
        <w:rPr>
          <w:rFonts w:hint="eastAsia" w:ascii="宋体" w:hAnsi="宋体" w:eastAsia="宋体"/>
          <w:b/>
          <w:color w:val="auto"/>
          <w:kern w:val="0"/>
          <w:sz w:val="28"/>
          <w:szCs w:val="28"/>
          <w:highlight w:val="none"/>
          <w:lang w:eastAsia="zh-CN"/>
        </w:rPr>
      </w:pPr>
    </w:p>
    <w:p>
      <w:pPr>
        <w:spacing w:line="360" w:lineRule="auto"/>
        <w:rPr>
          <w:rFonts w:ascii="宋体" w:hAnsi="宋体"/>
          <w:b/>
          <w:color w:val="auto"/>
          <w:kern w:val="0"/>
          <w:sz w:val="28"/>
          <w:szCs w:val="28"/>
          <w:highlight w:val="none"/>
        </w:rPr>
        <w:sectPr>
          <w:footerReference r:id="rId3" w:type="even"/>
          <w:pgSz w:w="11906" w:h="16838"/>
          <w:pgMar w:top="1361" w:right="1304" w:bottom="1247" w:left="1304" w:header="680" w:footer="680" w:gutter="0"/>
          <w:cols w:space="720" w:num="1"/>
          <w:docGrid w:linePitch="312" w:charSpace="0"/>
        </w:sectPr>
      </w:pPr>
    </w:p>
    <w:p>
      <w:pPr>
        <w:pStyle w:val="29"/>
      </w:pPr>
    </w:p>
    <w:p>
      <w:pPr>
        <w:spacing w:line="360" w:lineRule="auto"/>
        <w:jc w:val="center"/>
        <w:rPr>
          <w:rFonts w:ascii="宋体" w:hAnsi="宋体"/>
          <w:b/>
          <w:color w:val="auto"/>
          <w:kern w:val="0"/>
          <w:sz w:val="44"/>
          <w:szCs w:val="44"/>
          <w:highlight w:val="none"/>
        </w:rPr>
      </w:pPr>
      <w:r>
        <w:rPr>
          <w:rFonts w:hint="eastAsia" w:ascii="宋体" w:hAnsi="宋体"/>
          <w:b/>
          <w:color w:val="auto"/>
          <w:kern w:val="0"/>
          <w:sz w:val="44"/>
          <w:szCs w:val="44"/>
          <w:highlight w:val="none"/>
        </w:rPr>
        <w:t>目录</w:t>
      </w:r>
    </w:p>
    <w:sdt>
      <w:sdtPr>
        <w:rPr>
          <w:rFonts w:ascii="宋体" w:hAnsi="宋体" w:eastAsia="宋体" w:cs="Times New Roman"/>
          <w:color w:val="auto"/>
          <w:kern w:val="2"/>
          <w:sz w:val="21"/>
          <w:szCs w:val="24"/>
          <w:highlight w:val="none"/>
          <w:lang w:val="en-US" w:eastAsia="zh-CN" w:bidi="ar-SA"/>
        </w:rPr>
        <w:id w:val="147457771"/>
        <w15:color w:val="DBDBDB"/>
        <w:docPartObj>
          <w:docPartGallery w:val="Table of Contents"/>
          <w:docPartUnique/>
        </w:docPartObj>
      </w:sdtPr>
      <w:sdtEndPr>
        <w:rPr>
          <w:rFonts w:ascii="宋体" w:hAnsi="宋体" w:eastAsia="宋体" w:cs="宋体"/>
          <w:bCs/>
          <w:color w:val="auto"/>
          <w:kern w:val="2"/>
          <w:sz w:val="21"/>
          <w:szCs w:val="28"/>
          <w:highlight w:val="none"/>
          <w:lang w:val="en-US" w:eastAsia="zh-CN" w:bidi="ar-SA"/>
        </w:rPr>
      </w:sdtEndPr>
      <w:sdtContent>
        <w:p>
          <w:pPr>
            <w:spacing w:before="0" w:beforeLines="0" w:after="0" w:afterLines="0" w:line="240" w:lineRule="auto"/>
            <w:ind w:left="0" w:leftChars="0" w:right="0" w:rightChars="0" w:firstLine="0" w:firstLineChars="0"/>
            <w:jc w:val="center"/>
            <w:rPr>
              <w:color w:val="auto"/>
              <w:highlight w:val="none"/>
            </w:rPr>
          </w:pPr>
        </w:p>
        <w:p>
          <w:pPr>
            <w:pStyle w:val="17"/>
            <w:tabs>
              <w:tab w:val="right" w:leader="dot" w:pos="9298"/>
            </w:tabs>
            <w:spacing w:line="360" w:lineRule="auto"/>
            <w:rPr>
              <w:rFonts w:hint="eastAsia" w:ascii="宋体" w:hAnsi="宋体" w:eastAsia="宋体" w:cs="宋体"/>
              <w:b w:val="0"/>
              <w:bCs w:val="0"/>
              <w:sz w:val="32"/>
              <w:szCs w:val="32"/>
            </w:rPr>
          </w:pPr>
          <w:r>
            <w:rPr>
              <w:rFonts w:hint="eastAsia" w:ascii="宋体" w:hAnsi="宋体" w:eastAsia="宋体" w:cs="宋体"/>
              <w:b w:val="0"/>
              <w:bCs w:val="0"/>
              <w:color w:val="auto"/>
              <w:sz w:val="32"/>
              <w:szCs w:val="32"/>
              <w:highlight w:val="none"/>
            </w:rPr>
            <w:fldChar w:fldCharType="begin"/>
          </w:r>
          <w:r>
            <w:rPr>
              <w:rFonts w:hint="eastAsia" w:ascii="宋体" w:hAnsi="宋体" w:eastAsia="宋体" w:cs="宋体"/>
              <w:b w:val="0"/>
              <w:bCs w:val="0"/>
              <w:color w:val="auto"/>
              <w:sz w:val="32"/>
              <w:szCs w:val="32"/>
              <w:highlight w:val="none"/>
            </w:rPr>
            <w:instrText xml:space="preserve">TOC \o "1-1" \h \u </w:instrText>
          </w:r>
          <w:r>
            <w:rPr>
              <w:rFonts w:hint="eastAsia" w:ascii="宋体" w:hAnsi="宋体" w:eastAsia="宋体" w:cs="宋体"/>
              <w:b w:val="0"/>
              <w:bCs w:val="0"/>
              <w:color w:val="auto"/>
              <w:sz w:val="32"/>
              <w:szCs w:val="32"/>
              <w:highlight w:val="none"/>
            </w:rPr>
            <w:fldChar w:fldCharType="separate"/>
          </w:r>
          <w:r>
            <w:rPr>
              <w:rFonts w:hint="eastAsia" w:ascii="宋体" w:hAnsi="宋体" w:eastAsia="宋体" w:cs="宋体"/>
              <w:b w:val="0"/>
              <w:bCs w:val="0"/>
              <w:color w:val="auto"/>
              <w:sz w:val="32"/>
              <w:szCs w:val="32"/>
              <w:highlight w:val="none"/>
            </w:rPr>
            <w:fldChar w:fldCharType="begin"/>
          </w:r>
          <w:r>
            <w:rPr>
              <w:rFonts w:hint="eastAsia" w:ascii="宋体" w:hAnsi="宋体" w:eastAsia="宋体" w:cs="宋体"/>
              <w:b w:val="0"/>
              <w:bCs w:val="0"/>
              <w:sz w:val="32"/>
              <w:szCs w:val="32"/>
              <w:highlight w:val="none"/>
            </w:rPr>
            <w:instrText xml:space="preserve"> HYPERLINK \l _Toc26125 </w:instrText>
          </w:r>
          <w:r>
            <w:rPr>
              <w:rFonts w:hint="eastAsia" w:ascii="宋体" w:hAnsi="宋体" w:eastAsia="宋体" w:cs="宋体"/>
              <w:b w:val="0"/>
              <w:bCs w:val="0"/>
              <w:sz w:val="32"/>
              <w:szCs w:val="32"/>
              <w:highlight w:val="none"/>
            </w:rPr>
            <w:fldChar w:fldCharType="separate"/>
          </w:r>
          <w:r>
            <w:rPr>
              <w:rFonts w:hint="eastAsia" w:ascii="宋体" w:hAnsi="宋体" w:eastAsia="宋体" w:cs="宋体"/>
              <w:b w:val="0"/>
              <w:bCs w:val="0"/>
              <w:sz w:val="32"/>
              <w:szCs w:val="32"/>
              <w:highlight w:val="none"/>
            </w:rPr>
            <w:t>第一章</w:t>
          </w:r>
          <w:r>
            <w:rPr>
              <w:rFonts w:hint="eastAsia" w:ascii="宋体" w:hAnsi="宋体" w:eastAsia="宋体" w:cs="宋体"/>
              <w:b w:val="0"/>
              <w:bCs w:val="0"/>
              <w:sz w:val="32"/>
              <w:szCs w:val="32"/>
              <w:highlight w:val="none"/>
              <w:lang w:val="en-US" w:eastAsia="zh-CN"/>
            </w:rPr>
            <w:t xml:space="preserve">  </w:t>
          </w:r>
          <w:r>
            <w:rPr>
              <w:rFonts w:hint="eastAsia" w:ascii="宋体" w:hAnsi="宋体" w:eastAsia="宋体" w:cs="宋体"/>
              <w:b w:val="0"/>
              <w:bCs w:val="0"/>
              <w:sz w:val="32"/>
              <w:szCs w:val="32"/>
              <w:highlight w:val="none"/>
            </w:rPr>
            <w:t>招标公告</w:t>
          </w:r>
          <w:r>
            <w:rPr>
              <w:rFonts w:hint="eastAsia" w:ascii="宋体" w:hAnsi="宋体" w:eastAsia="宋体" w:cs="宋体"/>
              <w:b w:val="0"/>
              <w:bCs w:val="0"/>
              <w:sz w:val="32"/>
              <w:szCs w:val="32"/>
            </w:rPr>
            <w:tab/>
          </w:r>
          <w:r>
            <w:rPr>
              <w:rFonts w:hint="eastAsia" w:ascii="宋体" w:hAnsi="宋体" w:eastAsia="宋体" w:cs="宋体"/>
              <w:b w:val="0"/>
              <w:bCs w:val="0"/>
              <w:sz w:val="32"/>
              <w:szCs w:val="32"/>
            </w:rPr>
            <w:fldChar w:fldCharType="begin"/>
          </w:r>
          <w:r>
            <w:rPr>
              <w:rFonts w:hint="eastAsia" w:ascii="宋体" w:hAnsi="宋体" w:eastAsia="宋体" w:cs="宋体"/>
              <w:b w:val="0"/>
              <w:bCs w:val="0"/>
              <w:sz w:val="32"/>
              <w:szCs w:val="32"/>
            </w:rPr>
            <w:instrText xml:space="preserve"> PAGEREF _Toc26125 \h </w:instrText>
          </w:r>
          <w:r>
            <w:rPr>
              <w:rFonts w:hint="eastAsia" w:ascii="宋体" w:hAnsi="宋体" w:eastAsia="宋体" w:cs="宋体"/>
              <w:b w:val="0"/>
              <w:bCs w:val="0"/>
              <w:sz w:val="32"/>
              <w:szCs w:val="32"/>
            </w:rPr>
            <w:fldChar w:fldCharType="separate"/>
          </w:r>
          <w:r>
            <w:rPr>
              <w:rFonts w:hint="eastAsia" w:ascii="宋体" w:hAnsi="宋体" w:eastAsia="宋体" w:cs="宋体"/>
              <w:b w:val="0"/>
              <w:bCs w:val="0"/>
              <w:sz w:val="32"/>
              <w:szCs w:val="32"/>
            </w:rPr>
            <w:t>1</w:t>
          </w:r>
          <w:r>
            <w:rPr>
              <w:rFonts w:hint="eastAsia" w:ascii="宋体" w:hAnsi="宋体" w:eastAsia="宋体" w:cs="宋体"/>
              <w:b w:val="0"/>
              <w:bCs w:val="0"/>
              <w:sz w:val="32"/>
              <w:szCs w:val="32"/>
            </w:rPr>
            <w:fldChar w:fldCharType="end"/>
          </w:r>
          <w:r>
            <w:rPr>
              <w:rFonts w:hint="eastAsia" w:ascii="宋体" w:hAnsi="宋体" w:eastAsia="宋体" w:cs="宋体"/>
              <w:b w:val="0"/>
              <w:bCs w:val="0"/>
              <w:color w:val="auto"/>
              <w:sz w:val="32"/>
              <w:szCs w:val="32"/>
              <w:highlight w:val="none"/>
            </w:rPr>
            <w:fldChar w:fldCharType="end"/>
          </w:r>
        </w:p>
        <w:p>
          <w:pPr>
            <w:pStyle w:val="17"/>
            <w:tabs>
              <w:tab w:val="right" w:leader="dot" w:pos="9298"/>
            </w:tabs>
            <w:spacing w:line="360" w:lineRule="auto"/>
            <w:rPr>
              <w:rFonts w:hint="eastAsia" w:ascii="宋体" w:hAnsi="宋体" w:eastAsia="宋体" w:cs="宋体"/>
              <w:b w:val="0"/>
              <w:bCs w:val="0"/>
              <w:sz w:val="32"/>
              <w:szCs w:val="32"/>
            </w:rPr>
          </w:pPr>
          <w:r>
            <w:rPr>
              <w:rFonts w:hint="eastAsia" w:ascii="宋体" w:hAnsi="宋体" w:eastAsia="宋体" w:cs="宋体"/>
              <w:b w:val="0"/>
              <w:bCs w:val="0"/>
              <w:color w:val="auto"/>
              <w:sz w:val="32"/>
              <w:szCs w:val="32"/>
              <w:highlight w:val="none"/>
            </w:rPr>
            <w:fldChar w:fldCharType="begin"/>
          </w:r>
          <w:r>
            <w:rPr>
              <w:rFonts w:hint="eastAsia" w:ascii="宋体" w:hAnsi="宋体" w:eastAsia="宋体" w:cs="宋体"/>
              <w:b w:val="0"/>
              <w:bCs w:val="0"/>
              <w:sz w:val="32"/>
              <w:szCs w:val="32"/>
              <w:highlight w:val="none"/>
            </w:rPr>
            <w:instrText xml:space="preserve"> HYPERLINK \l _Toc28503 </w:instrText>
          </w:r>
          <w:r>
            <w:rPr>
              <w:rFonts w:hint="eastAsia" w:ascii="宋体" w:hAnsi="宋体" w:eastAsia="宋体" w:cs="宋体"/>
              <w:b w:val="0"/>
              <w:bCs w:val="0"/>
              <w:sz w:val="32"/>
              <w:szCs w:val="32"/>
              <w:highlight w:val="none"/>
            </w:rPr>
            <w:fldChar w:fldCharType="separate"/>
          </w:r>
          <w:r>
            <w:rPr>
              <w:rFonts w:hint="eastAsia" w:ascii="宋体" w:hAnsi="宋体" w:eastAsia="宋体" w:cs="宋体"/>
              <w:b w:val="0"/>
              <w:bCs w:val="0"/>
              <w:sz w:val="32"/>
              <w:szCs w:val="32"/>
              <w:highlight w:val="none"/>
            </w:rPr>
            <w:t>第二章</w:t>
          </w:r>
          <w:r>
            <w:rPr>
              <w:rFonts w:hint="eastAsia" w:ascii="宋体" w:hAnsi="宋体" w:eastAsia="宋体" w:cs="宋体"/>
              <w:b w:val="0"/>
              <w:bCs w:val="0"/>
              <w:sz w:val="32"/>
              <w:szCs w:val="32"/>
              <w:highlight w:val="none"/>
              <w:lang w:val="en-US" w:eastAsia="zh-CN"/>
            </w:rPr>
            <w:t xml:space="preserve">  </w:t>
          </w:r>
          <w:r>
            <w:rPr>
              <w:rFonts w:hint="eastAsia" w:ascii="宋体" w:hAnsi="宋体" w:eastAsia="宋体" w:cs="宋体"/>
              <w:b w:val="0"/>
              <w:bCs w:val="0"/>
              <w:sz w:val="32"/>
              <w:szCs w:val="32"/>
              <w:highlight w:val="none"/>
            </w:rPr>
            <w:t>投标人须知</w:t>
          </w:r>
          <w:r>
            <w:rPr>
              <w:rFonts w:hint="eastAsia" w:ascii="宋体" w:hAnsi="宋体" w:eastAsia="宋体" w:cs="宋体"/>
              <w:b w:val="0"/>
              <w:bCs w:val="0"/>
              <w:sz w:val="32"/>
              <w:szCs w:val="32"/>
              <w:highlight w:val="none"/>
              <w:lang w:eastAsia="zh-CN"/>
            </w:rPr>
            <w:t>前附表</w:t>
          </w:r>
          <w:r>
            <w:rPr>
              <w:rFonts w:hint="eastAsia" w:ascii="宋体" w:hAnsi="宋体" w:eastAsia="宋体" w:cs="宋体"/>
              <w:b w:val="0"/>
              <w:bCs w:val="0"/>
              <w:sz w:val="32"/>
              <w:szCs w:val="32"/>
            </w:rPr>
            <w:tab/>
          </w:r>
          <w:r>
            <w:rPr>
              <w:rFonts w:hint="eastAsia" w:ascii="宋体" w:hAnsi="宋体" w:eastAsia="宋体" w:cs="宋体"/>
              <w:b w:val="0"/>
              <w:bCs w:val="0"/>
              <w:sz w:val="32"/>
              <w:szCs w:val="32"/>
            </w:rPr>
            <w:fldChar w:fldCharType="begin"/>
          </w:r>
          <w:r>
            <w:rPr>
              <w:rFonts w:hint="eastAsia" w:ascii="宋体" w:hAnsi="宋体" w:eastAsia="宋体" w:cs="宋体"/>
              <w:b w:val="0"/>
              <w:bCs w:val="0"/>
              <w:sz w:val="32"/>
              <w:szCs w:val="32"/>
            </w:rPr>
            <w:instrText xml:space="preserve"> PAGEREF _Toc28503 \h </w:instrText>
          </w:r>
          <w:r>
            <w:rPr>
              <w:rFonts w:hint="eastAsia" w:ascii="宋体" w:hAnsi="宋体" w:eastAsia="宋体" w:cs="宋体"/>
              <w:b w:val="0"/>
              <w:bCs w:val="0"/>
              <w:sz w:val="32"/>
              <w:szCs w:val="32"/>
            </w:rPr>
            <w:fldChar w:fldCharType="separate"/>
          </w:r>
          <w:r>
            <w:rPr>
              <w:rFonts w:hint="eastAsia" w:ascii="宋体" w:hAnsi="宋体" w:eastAsia="宋体" w:cs="宋体"/>
              <w:b w:val="0"/>
              <w:bCs w:val="0"/>
              <w:sz w:val="32"/>
              <w:szCs w:val="32"/>
            </w:rPr>
            <w:t>5</w:t>
          </w:r>
          <w:r>
            <w:rPr>
              <w:rFonts w:hint="eastAsia" w:ascii="宋体" w:hAnsi="宋体" w:eastAsia="宋体" w:cs="宋体"/>
              <w:b w:val="0"/>
              <w:bCs w:val="0"/>
              <w:sz w:val="32"/>
              <w:szCs w:val="32"/>
            </w:rPr>
            <w:fldChar w:fldCharType="end"/>
          </w:r>
          <w:r>
            <w:rPr>
              <w:rFonts w:hint="eastAsia" w:ascii="宋体" w:hAnsi="宋体" w:eastAsia="宋体" w:cs="宋体"/>
              <w:b w:val="0"/>
              <w:bCs w:val="0"/>
              <w:color w:val="auto"/>
              <w:sz w:val="32"/>
              <w:szCs w:val="32"/>
              <w:highlight w:val="none"/>
            </w:rPr>
            <w:fldChar w:fldCharType="end"/>
          </w:r>
        </w:p>
        <w:p>
          <w:pPr>
            <w:pStyle w:val="17"/>
            <w:tabs>
              <w:tab w:val="right" w:leader="dot" w:pos="9298"/>
            </w:tabs>
            <w:spacing w:line="360" w:lineRule="auto"/>
            <w:rPr>
              <w:rFonts w:hint="eastAsia" w:ascii="宋体" w:hAnsi="宋体" w:eastAsia="宋体" w:cs="宋体"/>
              <w:b w:val="0"/>
              <w:bCs w:val="0"/>
              <w:sz w:val="32"/>
              <w:szCs w:val="32"/>
            </w:rPr>
          </w:pPr>
          <w:r>
            <w:rPr>
              <w:rFonts w:hint="eastAsia" w:ascii="宋体" w:hAnsi="宋体" w:eastAsia="宋体" w:cs="宋体"/>
              <w:b w:val="0"/>
              <w:bCs w:val="0"/>
              <w:color w:val="auto"/>
              <w:sz w:val="32"/>
              <w:szCs w:val="32"/>
              <w:highlight w:val="none"/>
            </w:rPr>
            <w:fldChar w:fldCharType="begin"/>
          </w:r>
          <w:r>
            <w:rPr>
              <w:rFonts w:hint="eastAsia" w:ascii="宋体" w:hAnsi="宋体" w:eastAsia="宋体" w:cs="宋体"/>
              <w:b w:val="0"/>
              <w:bCs w:val="0"/>
              <w:sz w:val="32"/>
              <w:szCs w:val="32"/>
              <w:highlight w:val="none"/>
            </w:rPr>
            <w:instrText xml:space="preserve"> HYPERLINK \l _Toc5258 </w:instrText>
          </w:r>
          <w:r>
            <w:rPr>
              <w:rFonts w:hint="eastAsia" w:ascii="宋体" w:hAnsi="宋体" w:eastAsia="宋体" w:cs="宋体"/>
              <w:b w:val="0"/>
              <w:bCs w:val="0"/>
              <w:sz w:val="32"/>
              <w:szCs w:val="32"/>
              <w:highlight w:val="none"/>
            </w:rPr>
            <w:fldChar w:fldCharType="separate"/>
          </w:r>
          <w:r>
            <w:rPr>
              <w:rFonts w:hint="eastAsia" w:ascii="宋体" w:hAnsi="宋体" w:eastAsia="宋体" w:cs="宋体"/>
              <w:b w:val="0"/>
              <w:bCs w:val="0"/>
              <w:sz w:val="32"/>
              <w:szCs w:val="32"/>
              <w:highlight w:val="none"/>
            </w:rPr>
            <w:t>第三章</w:t>
          </w:r>
          <w:r>
            <w:rPr>
              <w:rFonts w:hint="eastAsia" w:ascii="宋体" w:hAnsi="宋体" w:eastAsia="宋体" w:cs="宋体"/>
              <w:b w:val="0"/>
              <w:bCs w:val="0"/>
              <w:sz w:val="32"/>
              <w:szCs w:val="32"/>
              <w:highlight w:val="none"/>
              <w:lang w:val="en-US" w:eastAsia="zh-CN"/>
            </w:rPr>
            <w:t xml:space="preserve">  </w:t>
          </w:r>
          <w:r>
            <w:rPr>
              <w:rFonts w:hint="eastAsia" w:ascii="宋体" w:hAnsi="宋体" w:eastAsia="宋体" w:cs="宋体"/>
              <w:b w:val="0"/>
              <w:bCs w:val="0"/>
              <w:sz w:val="32"/>
              <w:szCs w:val="32"/>
              <w:highlight w:val="none"/>
            </w:rPr>
            <w:t>评标办法</w:t>
          </w:r>
          <w:r>
            <w:rPr>
              <w:rFonts w:hint="eastAsia" w:ascii="宋体" w:hAnsi="宋体" w:eastAsia="宋体" w:cs="宋体"/>
              <w:b w:val="0"/>
              <w:bCs w:val="0"/>
              <w:sz w:val="32"/>
              <w:szCs w:val="32"/>
            </w:rPr>
            <w:tab/>
          </w:r>
          <w:r>
            <w:rPr>
              <w:rFonts w:hint="eastAsia" w:ascii="宋体" w:hAnsi="宋体" w:eastAsia="宋体" w:cs="宋体"/>
              <w:b w:val="0"/>
              <w:bCs w:val="0"/>
              <w:sz w:val="32"/>
              <w:szCs w:val="32"/>
            </w:rPr>
            <w:fldChar w:fldCharType="begin"/>
          </w:r>
          <w:r>
            <w:rPr>
              <w:rFonts w:hint="eastAsia" w:ascii="宋体" w:hAnsi="宋体" w:eastAsia="宋体" w:cs="宋体"/>
              <w:b w:val="0"/>
              <w:bCs w:val="0"/>
              <w:sz w:val="32"/>
              <w:szCs w:val="32"/>
            </w:rPr>
            <w:instrText xml:space="preserve"> PAGEREF _Toc5258 \h </w:instrText>
          </w:r>
          <w:r>
            <w:rPr>
              <w:rFonts w:hint="eastAsia" w:ascii="宋体" w:hAnsi="宋体" w:eastAsia="宋体" w:cs="宋体"/>
              <w:b w:val="0"/>
              <w:bCs w:val="0"/>
              <w:sz w:val="32"/>
              <w:szCs w:val="32"/>
            </w:rPr>
            <w:fldChar w:fldCharType="separate"/>
          </w:r>
          <w:r>
            <w:rPr>
              <w:rFonts w:hint="eastAsia" w:ascii="宋体" w:hAnsi="宋体" w:eastAsia="宋体" w:cs="宋体"/>
              <w:b w:val="0"/>
              <w:bCs w:val="0"/>
              <w:sz w:val="32"/>
              <w:szCs w:val="32"/>
            </w:rPr>
            <w:t>23</w:t>
          </w:r>
          <w:r>
            <w:rPr>
              <w:rFonts w:hint="eastAsia" w:ascii="宋体" w:hAnsi="宋体" w:eastAsia="宋体" w:cs="宋体"/>
              <w:b w:val="0"/>
              <w:bCs w:val="0"/>
              <w:sz w:val="32"/>
              <w:szCs w:val="32"/>
            </w:rPr>
            <w:fldChar w:fldCharType="end"/>
          </w:r>
          <w:r>
            <w:rPr>
              <w:rFonts w:hint="eastAsia" w:ascii="宋体" w:hAnsi="宋体" w:eastAsia="宋体" w:cs="宋体"/>
              <w:b w:val="0"/>
              <w:bCs w:val="0"/>
              <w:color w:val="auto"/>
              <w:sz w:val="32"/>
              <w:szCs w:val="32"/>
              <w:highlight w:val="none"/>
            </w:rPr>
            <w:fldChar w:fldCharType="end"/>
          </w:r>
        </w:p>
        <w:p>
          <w:pPr>
            <w:pStyle w:val="17"/>
            <w:tabs>
              <w:tab w:val="right" w:leader="dot" w:pos="9298"/>
            </w:tabs>
            <w:spacing w:line="360" w:lineRule="auto"/>
            <w:rPr>
              <w:rFonts w:hint="eastAsia" w:ascii="宋体" w:hAnsi="宋体" w:eastAsia="宋体" w:cs="宋体"/>
              <w:b w:val="0"/>
              <w:bCs w:val="0"/>
              <w:sz w:val="32"/>
              <w:szCs w:val="32"/>
            </w:rPr>
          </w:pPr>
          <w:r>
            <w:rPr>
              <w:rFonts w:hint="eastAsia" w:ascii="宋体" w:hAnsi="宋体" w:eastAsia="宋体" w:cs="宋体"/>
              <w:b w:val="0"/>
              <w:bCs w:val="0"/>
              <w:color w:val="auto"/>
              <w:sz w:val="32"/>
              <w:szCs w:val="32"/>
              <w:highlight w:val="none"/>
            </w:rPr>
            <w:fldChar w:fldCharType="begin"/>
          </w:r>
          <w:r>
            <w:rPr>
              <w:rFonts w:hint="eastAsia" w:ascii="宋体" w:hAnsi="宋体" w:eastAsia="宋体" w:cs="宋体"/>
              <w:b w:val="0"/>
              <w:bCs w:val="0"/>
              <w:sz w:val="32"/>
              <w:szCs w:val="32"/>
              <w:highlight w:val="none"/>
            </w:rPr>
            <w:instrText xml:space="preserve"> HYPERLINK \l _Toc7370 </w:instrText>
          </w:r>
          <w:r>
            <w:rPr>
              <w:rFonts w:hint="eastAsia" w:ascii="宋体" w:hAnsi="宋体" w:eastAsia="宋体" w:cs="宋体"/>
              <w:b w:val="0"/>
              <w:bCs w:val="0"/>
              <w:sz w:val="32"/>
              <w:szCs w:val="32"/>
              <w:highlight w:val="none"/>
            </w:rPr>
            <w:fldChar w:fldCharType="separate"/>
          </w:r>
          <w:r>
            <w:rPr>
              <w:rFonts w:hint="eastAsia" w:ascii="宋体" w:hAnsi="宋体" w:eastAsia="宋体" w:cs="宋体"/>
              <w:b w:val="0"/>
              <w:bCs w:val="0"/>
              <w:sz w:val="32"/>
              <w:szCs w:val="32"/>
              <w:highlight w:val="none"/>
            </w:rPr>
            <w:t>第四章</w:t>
          </w:r>
          <w:r>
            <w:rPr>
              <w:rFonts w:hint="eastAsia" w:ascii="宋体" w:hAnsi="宋体" w:eastAsia="宋体" w:cs="宋体"/>
              <w:b w:val="0"/>
              <w:bCs w:val="0"/>
              <w:sz w:val="32"/>
              <w:szCs w:val="32"/>
              <w:highlight w:val="none"/>
              <w:lang w:val="en-US" w:eastAsia="zh-CN"/>
            </w:rPr>
            <w:t xml:space="preserve">  </w:t>
          </w:r>
          <w:r>
            <w:rPr>
              <w:rFonts w:hint="eastAsia" w:ascii="宋体" w:hAnsi="宋体" w:eastAsia="宋体" w:cs="宋体"/>
              <w:b w:val="0"/>
              <w:bCs w:val="0"/>
              <w:sz w:val="32"/>
              <w:szCs w:val="32"/>
              <w:highlight w:val="none"/>
            </w:rPr>
            <w:t>合同条款（参考格式）</w:t>
          </w:r>
          <w:r>
            <w:rPr>
              <w:rFonts w:hint="eastAsia" w:ascii="宋体" w:hAnsi="宋体" w:eastAsia="宋体" w:cs="宋体"/>
              <w:b w:val="0"/>
              <w:bCs w:val="0"/>
              <w:sz w:val="32"/>
              <w:szCs w:val="32"/>
            </w:rPr>
            <w:tab/>
          </w:r>
          <w:r>
            <w:rPr>
              <w:rFonts w:hint="eastAsia" w:ascii="宋体" w:hAnsi="宋体" w:eastAsia="宋体" w:cs="宋体"/>
              <w:b w:val="0"/>
              <w:bCs w:val="0"/>
              <w:sz w:val="32"/>
              <w:szCs w:val="32"/>
            </w:rPr>
            <w:fldChar w:fldCharType="begin"/>
          </w:r>
          <w:r>
            <w:rPr>
              <w:rFonts w:hint="eastAsia" w:ascii="宋体" w:hAnsi="宋体" w:eastAsia="宋体" w:cs="宋体"/>
              <w:b w:val="0"/>
              <w:bCs w:val="0"/>
              <w:sz w:val="32"/>
              <w:szCs w:val="32"/>
            </w:rPr>
            <w:instrText xml:space="preserve"> PAGEREF _Toc7370 \h </w:instrText>
          </w:r>
          <w:r>
            <w:rPr>
              <w:rFonts w:hint="eastAsia" w:ascii="宋体" w:hAnsi="宋体" w:eastAsia="宋体" w:cs="宋体"/>
              <w:b w:val="0"/>
              <w:bCs w:val="0"/>
              <w:sz w:val="32"/>
              <w:szCs w:val="32"/>
            </w:rPr>
            <w:fldChar w:fldCharType="separate"/>
          </w:r>
          <w:r>
            <w:rPr>
              <w:rFonts w:hint="eastAsia" w:ascii="宋体" w:hAnsi="宋体" w:eastAsia="宋体" w:cs="宋体"/>
              <w:b w:val="0"/>
              <w:bCs w:val="0"/>
              <w:sz w:val="32"/>
              <w:szCs w:val="32"/>
            </w:rPr>
            <w:t>29</w:t>
          </w:r>
          <w:r>
            <w:rPr>
              <w:rFonts w:hint="eastAsia" w:ascii="宋体" w:hAnsi="宋体" w:eastAsia="宋体" w:cs="宋体"/>
              <w:b w:val="0"/>
              <w:bCs w:val="0"/>
              <w:sz w:val="32"/>
              <w:szCs w:val="32"/>
            </w:rPr>
            <w:fldChar w:fldCharType="end"/>
          </w:r>
          <w:r>
            <w:rPr>
              <w:rFonts w:hint="eastAsia" w:ascii="宋体" w:hAnsi="宋体" w:eastAsia="宋体" w:cs="宋体"/>
              <w:b w:val="0"/>
              <w:bCs w:val="0"/>
              <w:color w:val="auto"/>
              <w:sz w:val="32"/>
              <w:szCs w:val="32"/>
              <w:highlight w:val="none"/>
            </w:rPr>
            <w:fldChar w:fldCharType="end"/>
          </w:r>
        </w:p>
        <w:p>
          <w:pPr>
            <w:pStyle w:val="17"/>
            <w:tabs>
              <w:tab w:val="right" w:leader="dot" w:pos="9298"/>
            </w:tabs>
            <w:spacing w:line="360" w:lineRule="auto"/>
            <w:rPr>
              <w:rFonts w:hint="eastAsia" w:ascii="宋体" w:hAnsi="宋体" w:eastAsia="宋体" w:cs="宋体"/>
              <w:b w:val="0"/>
              <w:bCs w:val="0"/>
              <w:sz w:val="32"/>
              <w:szCs w:val="32"/>
            </w:rPr>
          </w:pPr>
          <w:r>
            <w:rPr>
              <w:rFonts w:hint="eastAsia" w:ascii="宋体" w:hAnsi="宋体" w:eastAsia="宋体" w:cs="宋体"/>
              <w:b w:val="0"/>
              <w:bCs w:val="0"/>
              <w:color w:val="auto"/>
              <w:sz w:val="32"/>
              <w:szCs w:val="32"/>
              <w:highlight w:val="none"/>
            </w:rPr>
            <w:fldChar w:fldCharType="begin"/>
          </w:r>
          <w:r>
            <w:rPr>
              <w:rFonts w:hint="eastAsia" w:ascii="宋体" w:hAnsi="宋体" w:eastAsia="宋体" w:cs="宋体"/>
              <w:b w:val="0"/>
              <w:bCs w:val="0"/>
              <w:sz w:val="32"/>
              <w:szCs w:val="32"/>
              <w:highlight w:val="none"/>
            </w:rPr>
            <w:instrText xml:space="preserve"> HYPERLINK \l _Toc12326 </w:instrText>
          </w:r>
          <w:r>
            <w:rPr>
              <w:rFonts w:hint="eastAsia" w:ascii="宋体" w:hAnsi="宋体" w:eastAsia="宋体" w:cs="宋体"/>
              <w:b w:val="0"/>
              <w:bCs w:val="0"/>
              <w:sz w:val="32"/>
              <w:szCs w:val="32"/>
              <w:highlight w:val="none"/>
            </w:rPr>
            <w:fldChar w:fldCharType="separate"/>
          </w:r>
          <w:r>
            <w:rPr>
              <w:rFonts w:hint="eastAsia" w:ascii="宋体" w:hAnsi="宋体" w:eastAsia="宋体" w:cs="宋体"/>
              <w:b w:val="0"/>
              <w:bCs w:val="0"/>
              <w:sz w:val="32"/>
              <w:szCs w:val="32"/>
              <w:highlight w:val="none"/>
              <w:lang w:val="en-US" w:eastAsia="zh-CN"/>
            </w:rPr>
            <w:t xml:space="preserve">第五章  </w:t>
          </w:r>
          <w:r>
            <w:rPr>
              <w:rFonts w:hint="eastAsia" w:ascii="宋体" w:hAnsi="宋体" w:eastAsia="宋体" w:cs="宋体"/>
              <w:b w:val="0"/>
              <w:bCs w:val="0"/>
              <w:sz w:val="32"/>
              <w:szCs w:val="32"/>
              <w:highlight w:val="none"/>
            </w:rPr>
            <w:t>技术需求</w:t>
          </w:r>
          <w:r>
            <w:rPr>
              <w:rFonts w:hint="eastAsia" w:ascii="宋体" w:hAnsi="宋体" w:eastAsia="宋体" w:cs="宋体"/>
              <w:b w:val="0"/>
              <w:bCs w:val="0"/>
              <w:sz w:val="32"/>
              <w:szCs w:val="32"/>
            </w:rPr>
            <w:tab/>
          </w:r>
          <w:r>
            <w:rPr>
              <w:rFonts w:hint="eastAsia" w:ascii="宋体" w:hAnsi="宋体" w:eastAsia="宋体" w:cs="宋体"/>
              <w:b w:val="0"/>
              <w:bCs w:val="0"/>
              <w:sz w:val="32"/>
              <w:szCs w:val="32"/>
            </w:rPr>
            <w:fldChar w:fldCharType="begin"/>
          </w:r>
          <w:r>
            <w:rPr>
              <w:rFonts w:hint="eastAsia" w:ascii="宋体" w:hAnsi="宋体" w:eastAsia="宋体" w:cs="宋体"/>
              <w:b w:val="0"/>
              <w:bCs w:val="0"/>
              <w:sz w:val="32"/>
              <w:szCs w:val="32"/>
            </w:rPr>
            <w:instrText xml:space="preserve"> PAGEREF _Toc12326 \h </w:instrText>
          </w:r>
          <w:r>
            <w:rPr>
              <w:rFonts w:hint="eastAsia" w:ascii="宋体" w:hAnsi="宋体" w:eastAsia="宋体" w:cs="宋体"/>
              <w:b w:val="0"/>
              <w:bCs w:val="0"/>
              <w:sz w:val="32"/>
              <w:szCs w:val="32"/>
            </w:rPr>
            <w:fldChar w:fldCharType="separate"/>
          </w:r>
          <w:r>
            <w:rPr>
              <w:rFonts w:hint="eastAsia" w:ascii="宋体" w:hAnsi="宋体" w:eastAsia="宋体" w:cs="宋体"/>
              <w:b w:val="0"/>
              <w:bCs w:val="0"/>
              <w:sz w:val="32"/>
              <w:szCs w:val="32"/>
            </w:rPr>
            <w:t>37</w:t>
          </w:r>
          <w:r>
            <w:rPr>
              <w:rFonts w:hint="eastAsia" w:ascii="宋体" w:hAnsi="宋体" w:eastAsia="宋体" w:cs="宋体"/>
              <w:b w:val="0"/>
              <w:bCs w:val="0"/>
              <w:sz w:val="32"/>
              <w:szCs w:val="32"/>
            </w:rPr>
            <w:fldChar w:fldCharType="end"/>
          </w:r>
          <w:r>
            <w:rPr>
              <w:rFonts w:hint="eastAsia" w:ascii="宋体" w:hAnsi="宋体" w:eastAsia="宋体" w:cs="宋体"/>
              <w:b w:val="0"/>
              <w:bCs w:val="0"/>
              <w:color w:val="auto"/>
              <w:sz w:val="32"/>
              <w:szCs w:val="32"/>
              <w:highlight w:val="none"/>
            </w:rPr>
            <w:fldChar w:fldCharType="end"/>
          </w:r>
        </w:p>
        <w:p>
          <w:pPr>
            <w:pStyle w:val="17"/>
            <w:tabs>
              <w:tab w:val="right" w:leader="dot" w:pos="9298"/>
            </w:tabs>
            <w:spacing w:line="360" w:lineRule="auto"/>
            <w:rPr>
              <w:rFonts w:hint="eastAsia" w:ascii="宋体" w:hAnsi="宋体" w:eastAsia="宋体" w:cs="宋体"/>
              <w:b w:val="0"/>
              <w:bCs w:val="0"/>
              <w:sz w:val="32"/>
              <w:szCs w:val="32"/>
            </w:rPr>
          </w:pPr>
          <w:r>
            <w:rPr>
              <w:rFonts w:hint="eastAsia" w:ascii="宋体" w:hAnsi="宋体" w:eastAsia="宋体" w:cs="宋体"/>
              <w:b w:val="0"/>
              <w:bCs w:val="0"/>
              <w:color w:val="auto"/>
              <w:sz w:val="32"/>
              <w:szCs w:val="32"/>
              <w:highlight w:val="none"/>
            </w:rPr>
            <w:fldChar w:fldCharType="begin"/>
          </w:r>
          <w:r>
            <w:rPr>
              <w:rFonts w:hint="eastAsia" w:ascii="宋体" w:hAnsi="宋体" w:eastAsia="宋体" w:cs="宋体"/>
              <w:b w:val="0"/>
              <w:bCs w:val="0"/>
              <w:sz w:val="32"/>
              <w:szCs w:val="32"/>
              <w:highlight w:val="none"/>
            </w:rPr>
            <w:instrText xml:space="preserve"> HYPERLINK \l _Toc5166 </w:instrText>
          </w:r>
          <w:r>
            <w:rPr>
              <w:rFonts w:hint="eastAsia" w:ascii="宋体" w:hAnsi="宋体" w:eastAsia="宋体" w:cs="宋体"/>
              <w:b w:val="0"/>
              <w:bCs w:val="0"/>
              <w:sz w:val="32"/>
              <w:szCs w:val="32"/>
              <w:highlight w:val="none"/>
            </w:rPr>
            <w:fldChar w:fldCharType="separate"/>
          </w:r>
          <w:r>
            <w:rPr>
              <w:rFonts w:hint="eastAsia" w:ascii="宋体" w:hAnsi="宋体" w:eastAsia="宋体" w:cs="宋体"/>
              <w:b w:val="0"/>
              <w:bCs w:val="0"/>
              <w:sz w:val="32"/>
              <w:szCs w:val="32"/>
              <w:highlight w:val="none"/>
            </w:rPr>
            <w:t>第六章</w:t>
          </w:r>
          <w:r>
            <w:rPr>
              <w:rFonts w:hint="eastAsia" w:ascii="宋体" w:hAnsi="宋体" w:eastAsia="宋体" w:cs="宋体"/>
              <w:b w:val="0"/>
              <w:bCs w:val="0"/>
              <w:sz w:val="32"/>
              <w:szCs w:val="32"/>
              <w:highlight w:val="none"/>
              <w:lang w:val="en-US" w:eastAsia="zh-CN"/>
            </w:rPr>
            <w:t xml:space="preserve">  </w:t>
          </w:r>
          <w:r>
            <w:rPr>
              <w:rFonts w:hint="eastAsia" w:ascii="宋体" w:hAnsi="宋体" w:eastAsia="宋体" w:cs="宋体"/>
              <w:b w:val="0"/>
              <w:bCs w:val="0"/>
              <w:sz w:val="32"/>
              <w:szCs w:val="32"/>
              <w:highlight w:val="none"/>
            </w:rPr>
            <w:t>投标文件构成及格式</w:t>
          </w:r>
          <w:r>
            <w:rPr>
              <w:rFonts w:hint="eastAsia" w:ascii="宋体" w:hAnsi="宋体" w:eastAsia="宋体" w:cs="宋体"/>
              <w:b w:val="0"/>
              <w:bCs w:val="0"/>
              <w:sz w:val="32"/>
              <w:szCs w:val="32"/>
            </w:rPr>
            <w:tab/>
          </w:r>
          <w:r>
            <w:rPr>
              <w:rFonts w:hint="eastAsia" w:ascii="宋体" w:hAnsi="宋体" w:eastAsia="宋体" w:cs="宋体"/>
              <w:b w:val="0"/>
              <w:bCs w:val="0"/>
              <w:sz w:val="32"/>
              <w:szCs w:val="32"/>
            </w:rPr>
            <w:fldChar w:fldCharType="begin"/>
          </w:r>
          <w:r>
            <w:rPr>
              <w:rFonts w:hint="eastAsia" w:ascii="宋体" w:hAnsi="宋体" w:eastAsia="宋体" w:cs="宋体"/>
              <w:b w:val="0"/>
              <w:bCs w:val="0"/>
              <w:sz w:val="32"/>
              <w:szCs w:val="32"/>
            </w:rPr>
            <w:instrText xml:space="preserve"> PAGEREF _Toc5166 \h </w:instrText>
          </w:r>
          <w:r>
            <w:rPr>
              <w:rFonts w:hint="eastAsia" w:ascii="宋体" w:hAnsi="宋体" w:eastAsia="宋体" w:cs="宋体"/>
              <w:b w:val="0"/>
              <w:bCs w:val="0"/>
              <w:sz w:val="32"/>
              <w:szCs w:val="32"/>
            </w:rPr>
            <w:fldChar w:fldCharType="separate"/>
          </w:r>
          <w:r>
            <w:rPr>
              <w:rFonts w:hint="eastAsia" w:ascii="宋体" w:hAnsi="宋体" w:eastAsia="宋体" w:cs="宋体"/>
              <w:b w:val="0"/>
              <w:bCs w:val="0"/>
              <w:sz w:val="32"/>
              <w:szCs w:val="32"/>
            </w:rPr>
            <w:t>39</w:t>
          </w:r>
          <w:r>
            <w:rPr>
              <w:rFonts w:hint="eastAsia" w:ascii="宋体" w:hAnsi="宋体" w:eastAsia="宋体" w:cs="宋体"/>
              <w:b w:val="0"/>
              <w:bCs w:val="0"/>
              <w:sz w:val="32"/>
              <w:szCs w:val="32"/>
            </w:rPr>
            <w:fldChar w:fldCharType="end"/>
          </w:r>
          <w:r>
            <w:rPr>
              <w:rFonts w:hint="eastAsia" w:ascii="宋体" w:hAnsi="宋体" w:eastAsia="宋体" w:cs="宋体"/>
              <w:b w:val="0"/>
              <w:bCs w:val="0"/>
              <w:color w:val="auto"/>
              <w:sz w:val="32"/>
              <w:szCs w:val="32"/>
              <w:highlight w:val="none"/>
            </w:rPr>
            <w:fldChar w:fldCharType="end"/>
          </w:r>
        </w:p>
        <w:p>
          <w:pPr>
            <w:spacing w:line="360" w:lineRule="auto"/>
            <w:ind w:firstLine="640" w:firstLineChars="200"/>
            <w:rPr>
              <w:rFonts w:ascii="宋体" w:hAnsi="宋体" w:cs="宋体"/>
              <w:b/>
              <w:bCs/>
              <w:color w:val="auto"/>
              <w:sz w:val="28"/>
              <w:szCs w:val="28"/>
              <w:highlight w:val="none"/>
            </w:rPr>
          </w:pPr>
          <w:r>
            <w:rPr>
              <w:rFonts w:hint="eastAsia" w:ascii="宋体" w:hAnsi="宋体" w:eastAsia="宋体" w:cs="宋体"/>
              <w:b w:val="0"/>
              <w:bCs w:val="0"/>
              <w:color w:val="auto"/>
              <w:sz w:val="32"/>
              <w:szCs w:val="32"/>
              <w:highlight w:val="none"/>
            </w:rPr>
            <w:fldChar w:fldCharType="end"/>
          </w:r>
          <w:bookmarkEnd w:id="0"/>
        </w:p>
      </w:sdtContent>
    </w:sdt>
    <w:p>
      <w:pPr>
        <w:spacing w:line="360" w:lineRule="auto"/>
        <w:jc w:val="center"/>
        <w:rPr>
          <w:rFonts w:ascii="宋体" w:hAnsi="宋体"/>
          <w:b/>
          <w:color w:val="auto"/>
          <w:kern w:val="0"/>
          <w:sz w:val="44"/>
          <w:szCs w:val="44"/>
          <w:highlight w:val="none"/>
        </w:rPr>
      </w:pPr>
    </w:p>
    <w:p>
      <w:pPr>
        <w:spacing w:line="360" w:lineRule="auto"/>
        <w:ind w:firstLine="622" w:firstLineChars="295"/>
        <w:rPr>
          <w:rFonts w:ascii="宋体" w:hAnsi="宋体"/>
          <w:b/>
          <w:color w:val="auto"/>
          <w:highlight w:val="none"/>
        </w:rPr>
      </w:pPr>
    </w:p>
    <w:p>
      <w:pPr>
        <w:spacing w:line="640" w:lineRule="exact"/>
        <w:rPr>
          <w:rFonts w:ascii="隶书" w:eastAsia="隶书"/>
          <w:b/>
          <w:color w:val="auto"/>
          <w:sz w:val="44"/>
          <w:szCs w:val="44"/>
          <w:highlight w:val="none"/>
        </w:rPr>
      </w:pPr>
    </w:p>
    <w:p>
      <w:pPr>
        <w:spacing w:line="360" w:lineRule="auto"/>
        <w:ind w:firstLine="2667" w:firstLineChars="738"/>
        <w:rPr>
          <w:rFonts w:ascii="黑体" w:eastAsia="黑体"/>
          <w:b/>
          <w:color w:val="auto"/>
          <w:sz w:val="36"/>
          <w:szCs w:val="36"/>
          <w:highlight w:val="none"/>
        </w:rPr>
        <w:sectPr>
          <w:footerReference r:id="rId4" w:type="default"/>
          <w:pgSz w:w="11906" w:h="16838"/>
          <w:pgMar w:top="1361" w:right="1304" w:bottom="1247" w:left="1304" w:header="680" w:footer="680" w:gutter="0"/>
          <w:pgNumType w:start="1"/>
          <w:cols w:space="720" w:num="1"/>
          <w:docGrid w:linePitch="312" w:charSpace="0"/>
        </w:sectPr>
      </w:pPr>
    </w:p>
    <w:p>
      <w:pPr>
        <w:pStyle w:val="3"/>
        <w:bidi w:val="0"/>
        <w:spacing w:line="240" w:lineRule="auto"/>
        <w:jc w:val="center"/>
        <w:rPr>
          <w:color w:val="auto"/>
          <w:highlight w:val="none"/>
        </w:rPr>
      </w:pPr>
      <w:bookmarkStart w:id="3" w:name="_Toc10359"/>
      <w:bookmarkStart w:id="4" w:name="_Toc26125"/>
      <w:r>
        <w:rPr>
          <w:rFonts w:hint="eastAsia"/>
          <w:color w:val="auto"/>
          <w:highlight w:val="none"/>
        </w:rPr>
        <w:t>第一章</w:t>
      </w:r>
      <w:r>
        <w:rPr>
          <w:rFonts w:hint="eastAsia"/>
          <w:color w:val="auto"/>
          <w:highlight w:val="none"/>
          <w:lang w:val="en-US" w:eastAsia="zh-CN"/>
        </w:rPr>
        <w:t xml:space="preserve">  </w:t>
      </w:r>
      <w:bookmarkEnd w:id="3"/>
      <w:r>
        <w:rPr>
          <w:rFonts w:hint="eastAsia"/>
          <w:color w:val="auto"/>
          <w:highlight w:val="none"/>
          <w:lang w:val="en-US" w:eastAsia="zh-CN"/>
        </w:rPr>
        <w:t xml:space="preserve"> </w:t>
      </w:r>
      <w:bookmarkEnd w:id="4"/>
      <w:r>
        <w:rPr>
          <w:rFonts w:hint="eastAsia"/>
          <w:color w:val="auto"/>
          <w:highlight w:val="none"/>
        </w:rPr>
        <w:t>招标公告</w:t>
      </w:r>
    </w:p>
    <w:p>
      <w:pPr>
        <w:spacing w:line="240" w:lineRule="auto"/>
        <w:rPr>
          <w:rFonts w:ascii="仿宋_GB2312" w:hAnsi="宋体" w:eastAsia="仿宋_GB2312"/>
          <w:color w:val="auto"/>
          <w:sz w:val="24"/>
          <w:highlight w:val="none"/>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pacing w:line="240" w:lineRule="auto"/>
              <w:rPr>
                <w:rFonts w:ascii="宋体" w:hAnsi="宋体" w:cs="宋体"/>
                <w:color w:val="auto"/>
                <w:sz w:val="24"/>
                <w:highlight w:val="none"/>
              </w:rPr>
            </w:pPr>
            <w:r>
              <w:rPr>
                <w:rFonts w:hint="eastAsia" w:ascii="宋体" w:hAnsi="宋体" w:cs="宋体"/>
                <w:color w:val="auto"/>
                <w:sz w:val="24"/>
                <w:highlight w:val="none"/>
              </w:rPr>
              <w:t>项目概况</w:t>
            </w:r>
          </w:p>
          <w:p>
            <w:pPr>
              <w:spacing w:line="240" w:lineRule="auto"/>
              <w:ind w:firstLine="480" w:firstLineChars="200"/>
              <w:rPr>
                <w:rFonts w:ascii="宋体" w:hAnsi="宋体" w:cs="宋体"/>
                <w:color w:val="auto"/>
                <w:sz w:val="24"/>
                <w:highlight w:val="none"/>
              </w:rPr>
            </w:pPr>
            <w:r>
              <w:rPr>
                <w:rFonts w:hint="eastAsia" w:ascii="宋体" w:hAnsi="宋体" w:cs="宋体"/>
                <w:color w:val="auto"/>
                <w:sz w:val="24"/>
                <w:highlight w:val="none"/>
                <w:lang w:eastAsia="zh-CN"/>
              </w:rPr>
              <w:t>吉林省消防救援总队2023年战勤保障物资采购项目（</w:t>
            </w:r>
            <w:r>
              <w:rPr>
                <w:rFonts w:hint="eastAsia" w:ascii="宋体" w:hAnsi="宋体" w:cs="宋体"/>
                <w:color w:val="auto"/>
                <w:sz w:val="24"/>
                <w:highlight w:val="none"/>
                <w:lang w:val="en-US" w:eastAsia="zh-CN"/>
              </w:rPr>
              <w:t>二</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四次</w:t>
            </w:r>
            <w:r>
              <w:rPr>
                <w:rFonts w:hint="eastAsia" w:ascii="宋体" w:hAnsi="宋体" w:cs="宋体"/>
                <w:color w:val="auto"/>
                <w:sz w:val="24"/>
                <w:highlight w:val="none"/>
                <w:lang w:eastAsia="zh-CN"/>
              </w:rPr>
              <w:t>）</w:t>
            </w:r>
            <w:r>
              <w:rPr>
                <w:rFonts w:hint="eastAsia" w:ascii="宋体" w:hAnsi="宋体" w:cs="宋体"/>
                <w:color w:val="auto"/>
                <w:sz w:val="24"/>
                <w:highlight w:val="none"/>
              </w:rPr>
              <w:t>，潜在投标人应登录吉林省公共资源交易中心（吉林省政府采购中心）网站“CA登录区”下载电子招标文件</w:t>
            </w:r>
            <w:r>
              <w:rPr>
                <w:rFonts w:hint="eastAsia" w:ascii="宋体" w:hAnsi="宋体" w:cs="宋体"/>
                <w:color w:val="auto"/>
                <w:sz w:val="24"/>
                <w:highlight w:val="none"/>
                <w:lang w:eastAsia="zh-CN"/>
              </w:rPr>
              <w:t>，</w:t>
            </w:r>
            <w:r>
              <w:rPr>
                <w:rFonts w:hint="eastAsia" w:ascii="宋体" w:hAnsi="宋体" w:cs="宋体"/>
                <w:color w:val="auto"/>
                <w:sz w:val="24"/>
              </w:rPr>
              <w:t>第</w:t>
            </w:r>
            <w:r>
              <w:rPr>
                <w:rFonts w:hint="eastAsia" w:ascii="宋体" w:hAnsi="宋体" w:cs="宋体"/>
                <w:color w:val="auto"/>
                <w:sz w:val="24"/>
                <w:lang w:val="en-US" w:eastAsia="zh-CN"/>
              </w:rPr>
              <w:t>8、9</w:t>
            </w:r>
            <w:r>
              <w:rPr>
                <w:rFonts w:hint="eastAsia" w:ascii="宋体" w:hAnsi="宋体" w:cs="宋体"/>
                <w:color w:val="auto"/>
                <w:sz w:val="24"/>
              </w:rPr>
              <w:t>标段于202</w:t>
            </w:r>
            <w:r>
              <w:rPr>
                <w:rFonts w:hint="eastAsia" w:ascii="宋体" w:hAnsi="宋体" w:cs="宋体"/>
                <w:color w:val="auto"/>
                <w:sz w:val="24"/>
                <w:lang w:val="en-US" w:eastAsia="zh-CN"/>
              </w:rPr>
              <w:t>4</w:t>
            </w:r>
            <w:r>
              <w:rPr>
                <w:rFonts w:hint="eastAsia" w:ascii="宋体" w:hAnsi="宋体" w:cs="宋体"/>
                <w:color w:val="auto"/>
                <w:sz w:val="24"/>
              </w:rPr>
              <w:t>年</w:t>
            </w:r>
            <w:r>
              <w:rPr>
                <w:rFonts w:hint="eastAsia" w:ascii="宋体" w:hAnsi="宋体" w:cs="宋体"/>
                <w:color w:val="auto"/>
                <w:sz w:val="24"/>
                <w:lang w:val="en-US" w:eastAsia="zh-CN"/>
              </w:rPr>
              <w:t>01</w:t>
            </w:r>
            <w:r>
              <w:rPr>
                <w:rFonts w:hint="eastAsia" w:ascii="宋体" w:hAnsi="宋体" w:cs="宋体"/>
                <w:color w:val="auto"/>
                <w:sz w:val="24"/>
              </w:rPr>
              <w:t>月</w:t>
            </w:r>
            <w:r>
              <w:rPr>
                <w:rFonts w:hint="eastAsia" w:ascii="宋体" w:hAnsi="宋体" w:cs="宋体"/>
                <w:color w:val="auto"/>
                <w:sz w:val="24"/>
                <w:lang w:val="en-US" w:eastAsia="zh-CN"/>
              </w:rPr>
              <w:t>25</w:t>
            </w:r>
            <w:r>
              <w:rPr>
                <w:rFonts w:hint="eastAsia" w:ascii="宋体" w:hAnsi="宋体" w:cs="宋体"/>
                <w:color w:val="auto"/>
                <w:sz w:val="24"/>
              </w:rPr>
              <w:t>日09时00分（北京时间）前递交投标文</w:t>
            </w:r>
            <w:r>
              <w:rPr>
                <w:rFonts w:hint="eastAsia" w:ascii="宋体" w:hAnsi="宋体" w:cs="宋体"/>
                <w:color w:val="auto"/>
                <w:sz w:val="24"/>
                <w:highlight w:val="none"/>
              </w:rPr>
              <w:t>件</w:t>
            </w:r>
            <w:r>
              <w:rPr>
                <w:rFonts w:hint="eastAsia" w:ascii="宋体" w:hAnsi="宋体" w:cs="宋体"/>
                <w:color w:val="auto"/>
                <w:sz w:val="24"/>
                <w:highlight w:val="none"/>
                <w:lang w:eastAsia="zh-CN"/>
              </w:rPr>
              <w:t>。</w:t>
            </w:r>
          </w:p>
        </w:tc>
      </w:tr>
    </w:tbl>
    <w:p>
      <w:pPr>
        <w:spacing w:line="360" w:lineRule="auto"/>
        <w:rPr>
          <w:rFonts w:ascii="宋体" w:hAnsi="宋体" w:cs="宋体"/>
          <w:bCs/>
          <w:color w:val="auto"/>
          <w:sz w:val="24"/>
          <w:highlight w:val="none"/>
        </w:rPr>
      </w:pPr>
      <w:bookmarkStart w:id="5" w:name="_Toc35393790"/>
      <w:bookmarkStart w:id="6" w:name="_Toc35393621"/>
      <w:bookmarkStart w:id="7" w:name="_Toc28359079"/>
      <w:bookmarkStart w:id="8" w:name="_Toc28359002"/>
      <w:bookmarkStart w:id="9" w:name="_Hlk24379207"/>
      <w:r>
        <w:rPr>
          <w:rFonts w:ascii="宋体" w:hAnsi="宋体" w:cs="宋体"/>
          <w:bCs/>
          <w:color w:val="auto"/>
          <w:sz w:val="24"/>
          <w:highlight w:val="none"/>
        </w:rPr>
        <w:t>一、项目基本情况</w:t>
      </w:r>
      <w:bookmarkEnd w:id="5"/>
      <w:bookmarkEnd w:id="6"/>
      <w:bookmarkEnd w:id="7"/>
      <w:bookmarkEnd w:id="8"/>
    </w:p>
    <w:p>
      <w:pPr>
        <w:spacing w:line="360" w:lineRule="auto"/>
        <w:rPr>
          <w:rFonts w:hint="eastAsia" w:ascii="宋体" w:hAnsi="宋体" w:eastAsia="宋体" w:cs="宋体"/>
          <w:bCs/>
          <w:color w:val="auto"/>
          <w:sz w:val="24"/>
          <w:highlight w:val="none"/>
          <w:lang w:eastAsia="zh-CN"/>
        </w:rPr>
      </w:pPr>
      <w:r>
        <w:rPr>
          <w:rFonts w:hint="eastAsia" w:ascii="宋体" w:hAnsi="宋体" w:cs="宋体"/>
          <w:bCs/>
          <w:color w:val="auto"/>
          <w:sz w:val="24"/>
          <w:highlight w:val="none"/>
        </w:rPr>
        <w:t>1.1项目编号：ZYGJ-CZHW-23105</w:t>
      </w:r>
      <w:r>
        <w:rPr>
          <w:rFonts w:hint="eastAsia" w:ascii="宋体" w:hAnsi="宋体" w:cs="宋体"/>
          <w:bCs/>
          <w:color w:val="auto"/>
          <w:sz w:val="24"/>
          <w:highlight w:val="none"/>
          <w:lang w:val="en-US" w:eastAsia="zh-CN"/>
        </w:rPr>
        <w:t>；</w:t>
      </w:r>
    </w:p>
    <w:p>
      <w:pPr>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1.2采购计划编号：采购计划-[2023]-02133号</w:t>
      </w:r>
      <w:r>
        <w:rPr>
          <w:rFonts w:hint="eastAsia" w:ascii="宋体" w:hAnsi="宋体" w:cs="宋体"/>
          <w:bCs/>
          <w:color w:val="auto"/>
          <w:sz w:val="24"/>
          <w:highlight w:val="none"/>
          <w:lang w:eastAsia="zh-CN"/>
        </w:rPr>
        <w:t>；</w:t>
      </w:r>
    </w:p>
    <w:p>
      <w:pPr>
        <w:spacing w:line="360" w:lineRule="auto"/>
        <w:rPr>
          <w:rFonts w:hint="eastAsia" w:ascii="宋体" w:hAnsi="宋体" w:eastAsia="宋体" w:cs="宋体"/>
          <w:bCs/>
          <w:color w:val="auto"/>
          <w:sz w:val="24"/>
          <w:highlight w:val="none"/>
          <w:lang w:val="en-US" w:eastAsia="zh-CN"/>
        </w:rPr>
      </w:pPr>
      <w:r>
        <w:rPr>
          <w:rFonts w:hint="eastAsia" w:ascii="宋体" w:hAnsi="宋体" w:cs="宋体"/>
          <w:bCs/>
          <w:color w:val="auto"/>
          <w:sz w:val="24"/>
          <w:highlight w:val="none"/>
          <w:lang w:val="en-US" w:eastAsia="zh-CN"/>
        </w:rPr>
        <w:t>1.3</w:t>
      </w:r>
      <w:r>
        <w:rPr>
          <w:rFonts w:hint="eastAsia" w:ascii="宋体" w:hAnsi="宋体" w:cs="宋体"/>
          <w:bCs/>
          <w:color w:val="auto"/>
          <w:sz w:val="24"/>
          <w:highlight w:val="none"/>
        </w:rPr>
        <w:t>项目名称：</w:t>
      </w:r>
      <w:bookmarkEnd w:id="9"/>
      <w:r>
        <w:rPr>
          <w:rFonts w:hint="eastAsia" w:ascii="宋体" w:hAnsi="宋体" w:cs="宋体"/>
          <w:bCs/>
          <w:color w:val="auto"/>
          <w:sz w:val="24"/>
          <w:highlight w:val="none"/>
          <w:lang w:eastAsia="zh-CN"/>
        </w:rPr>
        <w:t>吉林省消防救援总队2023年战勤保障物资采购项目（</w:t>
      </w:r>
      <w:r>
        <w:rPr>
          <w:rFonts w:hint="eastAsia" w:ascii="宋体" w:hAnsi="宋体" w:cs="宋体"/>
          <w:bCs/>
          <w:color w:val="auto"/>
          <w:sz w:val="24"/>
          <w:highlight w:val="none"/>
          <w:lang w:val="en-US" w:eastAsia="zh-CN"/>
        </w:rPr>
        <w:t>二</w:t>
      </w:r>
      <w:r>
        <w:rPr>
          <w:rFonts w:hint="eastAsia" w:ascii="宋体" w:hAnsi="宋体" w:cs="宋体"/>
          <w:bCs/>
          <w:color w:val="auto"/>
          <w:sz w:val="24"/>
          <w:highlight w:val="none"/>
          <w:lang w:eastAsia="zh-CN"/>
        </w:rPr>
        <w:t>）（</w:t>
      </w:r>
      <w:r>
        <w:rPr>
          <w:rFonts w:hint="eastAsia" w:ascii="宋体" w:hAnsi="宋体" w:cs="宋体"/>
          <w:color w:val="auto"/>
          <w:sz w:val="24"/>
          <w:highlight w:val="none"/>
          <w:lang w:val="en-US" w:eastAsia="zh-CN"/>
        </w:rPr>
        <w:t>四次</w:t>
      </w:r>
      <w:r>
        <w:rPr>
          <w:rFonts w:hint="eastAsia" w:ascii="宋体" w:hAnsi="宋体" w:cs="宋体"/>
          <w:bCs/>
          <w:color w:val="auto"/>
          <w:sz w:val="24"/>
          <w:highlight w:val="none"/>
          <w:lang w:eastAsia="zh-CN"/>
        </w:rPr>
        <w:t>）；</w:t>
      </w:r>
    </w:p>
    <w:p>
      <w:pPr>
        <w:spacing w:line="360" w:lineRule="auto"/>
        <w:rPr>
          <w:rFonts w:ascii="宋体" w:hAnsi="宋体" w:cs="宋体"/>
          <w:bCs/>
          <w:color w:val="auto"/>
          <w:sz w:val="24"/>
          <w:highlight w:val="none"/>
        </w:rPr>
      </w:pPr>
      <w:r>
        <w:rPr>
          <w:rFonts w:hint="eastAsia" w:ascii="宋体" w:hAnsi="宋体" w:cs="宋体"/>
          <w:bCs/>
          <w:color w:val="auto"/>
          <w:sz w:val="24"/>
          <w:highlight w:val="none"/>
        </w:rPr>
        <w:t>1.</w:t>
      </w:r>
      <w:r>
        <w:rPr>
          <w:rFonts w:hint="eastAsia" w:ascii="宋体" w:hAnsi="宋体" w:cs="宋体"/>
          <w:bCs/>
          <w:color w:val="auto"/>
          <w:sz w:val="24"/>
          <w:highlight w:val="none"/>
          <w:lang w:val="en-US" w:eastAsia="zh-CN"/>
        </w:rPr>
        <w:t>4</w:t>
      </w:r>
      <w:r>
        <w:rPr>
          <w:rFonts w:hint="eastAsia" w:ascii="宋体" w:hAnsi="宋体" w:cs="宋体"/>
          <w:bCs/>
          <w:color w:val="auto"/>
          <w:sz w:val="24"/>
          <w:highlight w:val="none"/>
        </w:rPr>
        <w:t>预算金额：人民币</w:t>
      </w:r>
      <w:r>
        <w:rPr>
          <w:rFonts w:hint="eastAsia" w:ascii="宋体" w:hAnsi="宋体" w:cs="宋体"/>
          <w:bCs/>
          <w:color w:val="auto"/>
          <w:sz w:val="24"/>
          <w:highlight w:val="none"/>
          <w:lang w:val="en-US" w:eastAsia="zh-CN"/>
        </w:rPr>
        <w:t>298</w:t>
      </w:r>
      <w:r>
        <w:rPr>
          <w:rFonts w:hint="eastAsia" w:ascii="宋体" w:hAnsi="宋体" w:cs="宋体"/>
          <w:bCs/>
          <w:color w:val="auto"/>
          <w:sz w:val="24"/>
          <w:highlight w:val="none"/>
        </w:rPr>
        <w:t>万元</w:t>
      </w:r>
      <w:r>
        <w:rPr>
          <w:rFonts w:hint="eastAsia" w:ascii="宋体" w:hAnsi="宋体" w:cs="宋体"/>
          <w:bCs/>
          <w:color w:val="auto"/>
          <w:sz w:val="24"/>
          <w:highlight w:val="none"/>
          <w:lang w:eastAsia="zh-CN"/>
        </w:rPr>
        <w:t>；</w:t>
      </w:r>
    </w:p>
    <w:p>
      <w:pPr>
        <w:widowControl/>
        <w:spacing w:line="360" w:lineRule="auto"/>
        <w:jc w:val="left"/>
        <w:rPr>
          <w:rFonts w:ascii="宋体" w:hAnsi="宋体" w:cs="宋体"/>
          <w:bCs/>
          <w:color w:val="auto"/>
          <w:sz w:val="24"/>
          <w:highlight w:val="none"/>
        </w:rPr>
      </w:pPr>
      <w:r>
        <w:rPr>
          <w:rFonts w:hint="eastAsia" w:ascii="宋体" w:hAnsi="宋体" w:cs="宋体"/>
          <w:bCs/>
          <w:color w:val="auto"/>
          <w:sz w:val="24"/>
          <w:highlight w:val="none"/>
        </w:rPr>
        <w:t>1.</w:t>
      </w:r>
      <w:r>
        <w:rPr>
          <w:rFonts w:hint="eastAsia" w:ascii="宋体" w:hAnsi="宋体" w:cs="宋体"/>
          <w:bCs/>
          <w:color w:val="auto"/>
          <w:sz w:val="24"/>
          <w:highlight w:val="none"/>
          <w:lang w:val="en-US" w:eastAsia="zh-CN"/>
        </w:rPr>
        <w:t>5</w:t>
      </w:r>
      <w:r>
        <w:rPr>
          <w:rFonts w:hint="eastAsia" w:ascii="宋体" w:hAnsi="宋体" w:cs="宋体"/>
          <w:bCs/>
          <w:color w:val="auto"/>
          <w:sz w:val="24"/>
          <w:highlight w:val="none"/>
        </w:rPr>
        <w:t>最高限价：人民币</w:t>
      </w:r>
      <w:r>
        <w:rPr>
          <w:rFonts w:hint="eastAsia" w:ascii="宋体" w:hAnsi="宋体" w:cs="宋体"/>
          <w:bCs/>
          <w:color w:val="auto"/>
          <w:sz w:val="24"/>
          <w:highlight w:val="none"/>
          <w:lang w:val="en-US" w:eastAsia="zh-CN"/>
        </w:rPr>
        <w:t>298万元</w:t>
      </w:r>
      <w:r>
        <w:rPr>
          <w:rFonts w:hint="eastAsia" w:ascii="宋体" w:hAnsi="宋体" w:cs="宋体"/>
          <w:bCs/>
          <w:color w:val="auto"/>
          <w:sz w:val="24"/>
          <w:highlight w:val="none"/>
          <w:lang w:eastAsia="zh-CN"/>
        </w:rPr>
        <w:t>；</w:t>
      </w:r>
    </w:p>
    <w:p>
      <w:pPr>
        <w:widowControl/>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1.</w:t>
      </w:r>
      <w:r>
        <w:rPr>
          <w:rFonts w:hint="eastAsia" w:ascii="宋体" w:hAnsi="宋体" w:cs="宋体"/>
          <w:bCs/>
          <w:color w:val="auto"/>
          <w:sz w:val="24"/>
          <w:highlight w:val="none"/>
          <w:lang w:val="en-US" w:eastAsia="zh-CN"/>
        </w:rPr>
        <w:t>6</w:t>
      </w:r>
      <w:r>
        <w:rPr>
          <w:rFonts w:hint="eastAsia" w:ascii="宋体" w:hAnsi="宋体" w:cs="宋体"/>
          <w:bCs/>
          <w:color w:val="auto"/>
          <w:sz w:val="24"/>
          <w:highlight w:val="none"/>
        </w:rPr>
        <w:t>采购方式：公开招标</w:t>
      </w:r>
      <w:r>
        <w:rPr>
          <w:rFonts w:hint="eastAsia" w:ascii="宋体" w:hAnsi="宋体" w:cs="宋体"/>
          <w:bCs/>
          <w:color w:val="auto"/>
          <w:sz w:val="24"/>
          <w:highlight w:val="none"/>
          <w:lang w:eastAsia="zh-CN"/>
        </w:rPr>
        <w:t>；</w:t>
      </w:r>
    </w:p>
    <w:p>
      <w:pPr>
        <w:pStyle w:val="9"/>
        <w:rPr>
          <w:rFonts w:hint="default"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1.7采购需求：</w:t>
      </w:r>
    </w:p>
    <w:p>
      <w:pPr>
        <w:pStyle w:val="9"/>
        <w:spacing w:line="0" w:lineRule="atLeast"/>
        <w:jc w:val="right"/>
        <w:rPr>
          <w:rFonts w:ascii="宋体" w:hAnsi="宋体" w:eastAsia="宋体" w:cs="宋体"/>
          <w:bCs/>
          <w:color w:val="auto"/>
          <w:sz w:val="24"/>
          <w:szCs w:val="24"/>
        </w:rPr>
      </w:pPr>
      <w:r>
        <w:rPr>
          <w:rFonts w:hint="eastAsia" w:ascii="宋体" w:hAnsi="宋体" w:eastAsia="宋体" w:cs="宋体"/>
          <w:bCs/>
          <w:color w:val="auto"/>
          <w:sz w:val="24"/>
          <w:szCs w:val="24"/>
        </w:rPr>
        <w:t>单位：万元</w:t>
      </w:r>
    </w:p>
    <w:tbl>
      <w:tblPr>
        <w:tblStyle w:val="22"/>
        <w:tblW w:w="10256" w:type="dxa"/>
        <w:tblInd w:w="-290" w:type="dxa"/>
        <w:tblLayout w:type="fixed"/>
        <w:tblCellMar>
          <w:top w:w="0" w:type="dxa"/>
          <w:left w:w="108" w:type="dxa"/>
          <w:bottom w:w="0" w:type="dxa"/>
          <w:right w:w="108" w:type="dxa"/>
        </w:tblCellMar>
      </w:tblPr>
      <w:tblGrid>
        <w:gridCol w:w="1220"/>
        <w:gridCol w:w="1681"/>
        <w:gridCol w:w="2185"/>
        <w:gridCol w:w="1224"/>
        <w:gridCol w:w="943"/>
        <w:gridCol w:w="803"/>
        <w:gridCol w:w="1073"/>
        <w:gridCol w:w="1127"/>
      </w:tblGrid>
      <w:tr>
        <w:tblPrEx>
          <w:tblCellMar>
            <w:top w:w="0" w:type="dxa"/>
            <w:left w:w="108" w:type="dxa"/>
            <w:bottom w:w="0" w:type="dxa"/>
            <w:right w:w="108" w:type="dxa"/>
          </w:tblCellMar>
        </w:tblPrEx>
        <w:trPr>
          <w:trHeight w:val="327" w:hRule="atLeast"/>
        </w:trPr>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eastAsiaTheme="minorEastAsia" w:cstheme="minorEastAsia"/>
                <w:b/>
                <w:bCs/>
                <w:color w:val="auto"/>
                <w:sz w:val="24"/>
              </w:rPr>
            </w:pPr>
            <w:r>
              <w:rPr>
                <w:rStyle w:val="43"/>
                <w:rFonts w:asciiTheme="minorEastAsia" w:hAnsiTheme="minorEastAsia" w:eastAsiaTheme="minorEastAsia" w:cstheme="minorEastAsia"/>
                <w:color w:val="auto"/>
              </w:rPr>
              <w:t>标段</w:t>
            </w:r>
          </w:p>
        </w:tc>
        <w:tc>
          <w:tcPr>
            <w:tcW w:w="1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eastAsiaTheme="minorEastAsia" w:cstheme="minorEastAsia"/>
                <w:b/>
                <w:bCs/>
                <w:color w:val="auto"/>
                <w:sz w:val="24"/>
              </w:rPr>
            </w:pPr>
            <w:r>
              <w:rPr>
                <w:rStyle w:val="43"/>
                <w:rFonts w:asciiTheme="minorEastAsia" w:hAnsiTheme="minorEastAsia" w:eastAsiaTheme="minorEastAsia" w:cstheme="minorEastAsia"/>
                <w:color w:val="auto"/>
              </w:rPr>
              <w:t>标段名称</w:t>
            </w:r>
          </w:p>
        </w:tc>
        <w:tc>
          <w:tcPr>
            <w:tcW w:w="2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Style w:val="43"/>
                <w:rFonts w:asciiTheme="minorEastAsia" w:hAnsiTheme="minorEastAsia" w:eastAsiaTheme="minorEastAsia" w:cstheme="minorEastAsia"/>
                <w:color w:val="auto"/>
              </w:rPr>
            </w:pPr>
            <w:r>
              <w:rPr>
                <w:rStyle w:val="43"/>
                <w:rFonts w:asciiTheme="minorEastAsia" w:hAnsiTheme="minorEastAsia" w:eastAsiaTheme="minorEastAsia" w:cstheme="minorEastAsia"/>
                <w:color w:val="auto"/>
              </w:rPr>
              <w:t>品种</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Style w:val="43"/>
                <w:rFonts w:hint="eastAsia" w:asciiTheme="minorEastAsia" w:hAnsiTheme="minorEastAsia" w:eastAsiaTheme="minorEastAsia" w:cstheme="minorEastAsia"/>
                <w:color w:val="auto"/>
                <w:lang w:eastAsia="zh-CN"/>
              </w:rPr>
            </w:pPr>
            <w:r>
              <w:rPr>
                <w:rStyle w:val="43"/>
                <w:rFonts w:asciiTheme="minorEastAsia" w:hAnsiTheme="minorEastAsia" w:eastAsiaTheme="minorEastAsia" w:cstheme="minorEastAsia"/>
                <w:color w:val="auto"/>
              </w:rPr>
              <w:t>预算</w:t>
            </w:r>
            <w:r>
              <w:rPr>
                <w:rStyle w:val="43"/>
                <w:rFonts w:asciiTheme="minorEastAsia" w:hAnsiTheme="minorEastAsia" w:eastAsiaTheme="minorEastAsia" w:cstheme="minorEastAsia"/>
                <w:color w:val="auto"/>
                <w:lang w:eastAsia="zh-CN"/>
              </w:rPr>
              <w:t>单价</w:t>
            </w:r>
          </w:p>
        </w:tc>
        <w:tc>
          <w:tcPr>
            <w:tcW w:w="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Style w:val="43"/>
                <w:rFonts w:asciiTheme="minorEastAsia" w:hAnsiTheme="minorEastAsia" w:eastAsiaTheme="minorEastAsia" w:cstheme="minorEastAsia"/>
                <w:color w:val="auto"/>
              </w:rPr>
            </w:pPr>
            <w:r>
              <w:rPr>
                <w:rStyle w:val="43"/>
                <w:rFonts w:asciiTheme="minorEastAsia" w:hAnsiTheme="minorEastAsia" w:eastAsiaTheme="minorEastAsia" w:cstheme="minorEastAsia"/>
                <w:color w:val="auto"/>
              </w:rPr>
              <w:t>数量</w:t>
            </w:r>
          </w:p>
        </w:tc>
        <w:tc>
          <w:tcPr>
            <w:tcW w:w="8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Style w:val="43"/>
                <w:rFonts w:hint="eastAsia" w:asciiTheme="minorEastAsia" w:hAnsiTheme="minorEastAsia" w:eastAsiaTheme="minorEastAsia" w:cstheme="minorEastAsia"/>
                <w:color w:val="auto"/>
                <w:lang w:val="en-US" w:eastAsia="zh-CN"/>
              </w:rPr>
            </w:pPr>
            <w:r>
              <w:rPr>
                <w:rStyle w:val="43"/>
                <w:rFonts w:hint="eastAsia" w:asciiTheme="minorEastAsia" w:hAnsiTheme="minorEastAsia" w:eastAsiaTheme="minorEastAsia" w:cstheme="minorEastAsia"/>
                <w:color w:val="auto"/>
                <w:lang w:val="en-US" w:eastAsia="zh-CN"/>
              </w:rPr>
              <w:t>单位</w:t>
            </w:r>
          </w:p>
        </w:tc>
        <w:tc>
          <w:tcPr>
            <w:tcW w:w="107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jc w:val="center"/>
              <w:textAlignment w:val="center"/>
              <w:rPr>
                <w:rStyle w:val="43"/>
                <w:rFonts w:asciiTheme="minorEastAsia" w:hAnsiTheme="minorEastAsia" w:eastAsiaTheme="minorEastAsia" w:cstheme="minorEastAsia"/>
                <w:color w:val="auto"/>
              </w:rPr>
            </w:pPr>
            <w:r>
              <w:rPr>
                <w:rStyle w:val="43"/>
                <w:rFonts w:hint="eastAsia" w:asciiTheme="minorEastAsia" w:hAnsiTheme="minorEastAsia" w:eastAsiaTheme="minorEastAsia" w:cstheme="minorEastAsia"/>
                <w:color w:val="auto"/>
              </w:rPr>
              <w:drawing>
                <wp:anchor distT="0" distB="0" distL="114300" distR="114300" simplePos="0" relativeHeight="251661312" behindDoc="0" locked="0" layoutInCell="1" allowOverlap="1">
                  <wp:simplePos x="0" y="0"/>
                  <wp:positionH relativeFrom="column">
                    <wp:posOffset>0</wp:posOffset>
                  </wp:positionH>
                  <wp:positionV relativeFrom="paragraph">
                    <wp:posOffset>323850</wp:posOffset>
                  </wp:positionV>
                  <wp:extent cx="635" cy="0"/>
                  <wp:effectExtent l="0" t="0" r="0" b="0"/>
                  <wp:wrapNone/>
                  <wp:docPr id="97" name="Line_69"/>
                  <wp:cNvGraphicFramePr/>
                  <a:graphic xmlns:a="http://schemas.openxmlformats.org/drawingml/2006/main">
                    <a:graphicData uri="http://schemas.openxmlformats.org/drawingml/2006/picture">
                      <pic:pic xmlns:pic="http://schemas.openxmlformats.org/drawingml/2006/picture">
                        <pic:nvPicPr>
                          <pic:cNvPr id="97" name="Line_69"/>
                          <pic:cNvPicPr/>
                        </pic:nvPicPr>
                        <pic:blipFill>
                          <a:blip r:embed="rId10"/>
                          <a:stretch>
                            <a:fillRect/>
                          </a:stretch>
                        </pic:blipFill>
                        <pic:spPr>
                          <a:xfrm>
                            <a:off x="0" y="0"/>
                            <a:ext cx="635" cy="0"/>
                          </a:xfrm>
                          <a:prstGeom prst="rect">
                            <a:avLst/>
                          </a:prstGeom>
                          <a:noFill/>
                          <a:ln>
                            <a:noFill/>
                          </a:ln>
                        </pic:spPr>
                      </pic:pic>
                    </a:graphicData>
                  </a:graphic>
                </wp:anchor>
              </w:drawing>
            </w:r>
            <w:r>
              <w:rPr>
                <w:rStyle w:val="43"/>
                <w:rFonts w:hint="eastAsia" w:asciiTheme="minorEastAsia" w:hAnsiTheme="minorEastAsia" w:eastAsiaTheme="minorEastAsia" w:cstheme="minorEastAsia"/>
                <w:color w:val="auto"/>
              </w:rPr>
              <w:drawing>
                <wp:anchor distT="0" distB="0" distL="114300" distR="114300" simplePos="0" relativeHeight="251662336" behindDoc="0" locked="0" layoutInCell="1" allowOverlap="1">
                  <wp:simplePos x="0" y="0"/>
                  <wp:positionH relativeFrom="column">
                    <wp:posOffset>0</wp:posOffset>
                  </wp:positionH>
                  <wp:positionV relativeFrom="paragraph">
                    <wp:posOffset>323850</wp:posOffset>
                  </wp:positionV>
                  <wp:extent cx="635" cy="0"/>
                  <wp:effectExtent l="0" t="0" r="0" b="0"/>
                  <wp:wrapNone/>
                  <wp:docPr id="96" name="Line_69_SpCnt_1"/>
                  <wp:cNvGraphicFramePr/>
                  <a:graphic xmlns:a="http://schemas.openxmlformats.org/drawingml/2006/main">
                    <a:graphicData uri="http://schemas.openxmlformats.org/drawingml/2006/picture">
                      <pic:pic xmlns:pic="http://schemas.openxmlformats.org/drawingml/2006/picture">
                        <pic:nvPicPr>
                          <pic:cNvPr id="96" name="Line_69_SpCnt_1"/>
                          <pic:cNvPicPr/>
                        </pic:nvPicPr>
                        <pic:blipFill>
                          <a:blip r:embed="rId10"/>
                          <a:stretch>
                            <a:fillRect/>
                          </a:stretch>
                        </pic:blipFill>
                        <pic:spPr>
                          <a:xfrm>
                            <a:off x="0" y="0"/>
                            <a:ext cx="635" cy="0"/>
                          </a:xfrm>
                          <a:prstGeom prst="rect">
                            <a:avLst/>
                          </a:prstGeom>
                          <a:noFill/>
                          <a:ln>
                            <a:noFill/>
                          </a:ln>
                        </pic:spPr>
                      </pic:pic>
                    </a:graphicData>
                  </a:graphic>
                </wp:anchor>
              </w:drawing>
            </w:r>
            <w:r>
              <w:rPr>
                <w:rStyle w:val="43"/>
                <w:rFonts w:hint="eastAsia" w:asciiTheme="minorEastAsia" w:hAnsiTheme="minorEastAsia" w:eastAsiaTheme="minorEastAsia" w:cstheme="minorEastAsia"/>
                <w:color w:val="auto"/>
              </w:rPr>
              <w:drawing>
                <wp:anchor distT="0" distB="0" distL="114300" distR="114300" simplePos="0" relativeHeight="251663360" behindDoc="0" locked="0" layoutInCell="1" allowOverlap="1">
                  <wp:simplePos x="0" y="0"/>
                  <wp:positionH relativeFrom="column">
                    <wp:posOffset>0</wp:posOffset>
                  </wp:positionH>
                  <wp:positionV relativeFrom="paragraph">
                    <wp:posOffset>323850</wp:posOffset>
                  </wp:positionV>
                  <wp:extent cx="635" cy="0"/>
                  <wp:effectExtent l="0" t="0" r="0" b="0"/>
                  <wp:wrapNone/>
                  <wp:docPr id="95" name="Line_69_SpCnt_2"/>
                  <wp:cNvGraphicFramePr/>
                  <a:graphic xmlns:a="http://schemas.openxmlformats.org/drawingml/2006/main">
                    <a:graphicData uri="http://schemas.openxmlformats.org/drawingml/2006/picture">
                      <pic:pic xmlns:pic="http://schemas.openxmlformats.org/drawingml/2006/picture">
                        <pic:nvPicPr>
                          <pic:cNvPr id="95" name="Line_69_SpCnt_2"/>
                          <pic:cNvPicPr/>
                        </pic:nvPicPr>
                        <pic:blipFill>
                          <a:blip r:embed="rId10"/>
                          <a:stretch>
                            <a:fillRect/>
                          </a:stretch>
                        </pic:blipFill>
                        <pic:spPr>
                          <a:xfrm>
                            <a:off x="0" y="0"/>
                            <a:ext cx="635" cy="0"/>
                          </a:xfrm>
                          <a:prstGeom prst="rect">
                            <a:avLst/>
                          </a:prstGeom>
                          <a:noFill/>
                          <a:ln>
                            <a:noFill/>
                          </a:ln>
                        </pic:spPr>
                      </pic:pic>
                    </a:graphicData>
                  </a:graphic>
                </wp:anchor>
              </w:drawing>
            </w:r>
            <w:r>
              <w:rPr>
                <w:rStyle w:val="43"/>
                <w:rFonts w:hint="eastAsia" w:asciiTheme="minorEastAsia" w:hAnsiTheme="minorEastAsia" w:eastAsiaTheme="minorEastAsia" w:cstheme="minorEastAsia"/>
                <w:color w:val="auto"/>
              </w:rPr>
              <w:drawing>
                <wp:anchor distT="0" distB="0" distL="114300" distR="114300" simplePos="0" relativeHeight="251664384" behindDoc="0" locked="0" layoutInCell="1" allowOverlap="1">
                  <wp:simplePos x="0" y="0"/>
                  <wp:positionH relativeFrom="column">
                    <wp:posOffset>0</wp:posOffset>
                  </wp:positionH>
                  <wp:positionV relativeFrom="paragraph">
                    <wp:posOffset>323850</wp:posOffset>
                  </wp:positionV>
                  <wp:extent cx="635" cy="0"/>
                  <wp:effectExtent l="0" t="0" r="0" b="0"/>
                  <wp:wrapNone/>
                  <wp:docPr id="94" name="Line_69_SpCnt_3"/>
                  <wp:cNvGraphicFramePr/>
                  <a:graphic xmlns:a="http://schemas.openxmlformats.org/drawingml/2006/main">
                    <a:graphicData uri="http://schemas.openxmlformats.org/drawingml/2006/picture">
                      <pic:pic xmlns:pic="http://schemas.openxmlformats.org/drawingml/2006/picture">
                        <pic:nvPicPr>
                          <pic:cNvPr id="94" name="Line_69_SpCnt_3"/>
                          <pic:cNvPicPr/>
                        </pic:nvPicPr>
                        <pic:blipFill>
                          <a:blip r:embed="rId10"/>
                          <a:stretch>
                            <a:fillRect/>
                          </a:stretch>
                        </pic:blipFill>
                        <pic:spPr>
                          <a:xfrm>
                            <a:off x="0" y="0"/>
                            <a:ext cx="635" cy="0"/>
                          </a:xfrm>
                          <a:prstGeom prst="rect">
                            <a:avLst/>
                          </a:prstGeom>
                          <a:noFill/>
                          <a:ln>
                            <a:noFill/>
                          </a:ln>
                        </pic:spPr>
                      </pic:pic>
                    </a:graphicData>
                  </a:graphic>
                </wp:anchor>
              </w:drawing>
            </w:r>
            <w:r>
              <w:rPr>
                <w:rStyle w:val="43"/>
                <w:rFonts w:hint="eastAsia" w:asciiTheme="minorEastAsia" w:hAnsiTheme="minorEastAsia" w:eastAsiaTheme="minorEastAsia" w:cstheme="minorEastAsia"/>
                <w:color w:val="auto"/>
              </w:rPr>
              <w:drawing>
                <wp:anchor distT="0" distB="0" distL="114300" distR="114300" simplePos="0" relativeHeight="251665408" behindDoc="0" locked="0" layoutInCell="1" allowOverlap="1">
                  <wp:simplePos x="0" y="0"/>
                  <wp:positionH relativeFrom="column">
                    <wp:posOffset>0</wp:posOffset>
                  </wp:positionH>
                  <wp:positionV relativeFrom="paragraph">
                    <wp:posOffset>323850</wp:posOffset>
                  </wp:positionV>
                  <wp:extent cx="635" cy="0"/>
                  <wp:effectExtent l="0" t="0" r="0" b="0"/>
                  <wp:wrapNone/>
                  <wp:docPr id="93" name="Line_69_SpCnt_4"/>
                  <wp:cNvGraphicFramePr/>
                  <a:graphic xmlns:a="http://schemas.openxmlformats.org/drawingml/2006/main">
                    <a:graphicData uri="http://schemas.openxmlformats.org/drawingml/2006/picture">
                      <pic:pic xmlns:pic="http://schemas.openxmlformats.org/drawingml/2006/picture">
                        <pic:nvPicPr>
                          <pic:cNvPr id="93" name="Line_69_SpCnt_4"/>
                          <pic:cNvPicPr/>
                        </pic:nvPicPr>
                        <pic:blipFill>
                          <a:blip r:embed="rId10"/>
                          <a:stretch>
                            <a:fillRect/>
                          </a:stretch>
                        </pic:blipFill>
                        <pic:spPr>
                          <a:xfrm>
                            <a:off x="0" y="0"/>
                            <a:ext cx="635" cy="0"/>
                          </a:xfrm>
                          <a:prstGeom prst="rect">
                            <a:avLst/>
                          </a:prstGeom>
                          <a:noFill/>
                          <a:ln>
                            <a:noFill/>
                          </a:ln>
                        </pic:spPr>
                      </pic:pic>
                    </a:graphicData>
                  </a:graphic>
                </wp:anchor>
              </w:drawing>
            </w:r>
            <w:r>
              <w:rPr>
                <w:rStyle w:val="43"/>
                <w:rFonts w:hint="eastAsia" w:asciiTheme="minorEastAsia" w:hAnsiTheme="minorEastAsia" w:eastAsiaTheme="minorEastAsia" w:cstheme="minorEastAsia"/>
                <w:color w:val="auto"/>
              </w:rPr>
              <w:drawing>
                <wp:anchor distT="0" distB="0" distL="114300" distR="114300" simplePos="0" relativeHeight="251666432" behindDoc="0" locked="0" layoutInCell="1" allowOverlap="1">
                  <wp:simplePos x="0" y="0"/>
                  <wp:positionH relativeFrom="column">
                    <wp:posOffset>0</wp:posOffset>
                  </wp:positionH>
                  <wp:positionV relativeFrom="paragraph">
                    <wp:posOffset>323850</wp:posOffset>
                  </wp:positionV>
                  <wp:extent cx="635" cy="0"/>
                  <wp:effectExtent l="0" t="0" r="0" b="0"/>
                  <wp:wrapNone/>
                  <wp:docPr id="92" name="Line_69_SpCnt_5"/>
                  <wp:cNvGraphicFramePr/>
                  <a:graphic xmlns:a="http://schemas.openxmlformats.org/drawingml/2006/main">
                    <a:graphicData uri="http://schemas.openxmlformats.org/drawingml/2006/picture">
                      <pic:pic xmlns:pic="http://schemas.openxmlformats.org/drawingml/2006/picture">
                        <pic:nvPicPr>
                          <pic:cNvPr id="92" name="Line_69_SpCnt_5"/>
                          <pic:cNvPicPr/>
                        </pic:nvPicPr>
                        <pic:blipFill>
                          <a:blip r:embed="rId10"/>
                          <a:stretch>
                            <a:fillRect/>
                          </a:stretch>
                        </pic:blipFill>
                        <pic:spPr>
                          <a:xfrm>
                            <a:off x="0" y="0"/>
                            <a:ext cx="635" cy="0"/>
                          </a:xfrm>
                          <a:prstGeom prst="rect">
                            <a:avLst/>
                          </a:prstGeom>
                          <a:noFill/>
                          <a:ln>
                            <a:noFill/>
                          </a:ln>
                        </pic:spPr>
                      </pic:pic>
                    </a:graphicData>
                  </a:graphic>
                </wp:anchor>
              </w:drawing>
            </w:r>
            <w:r>
              <w:rPr>
                <w:rStyle w:val="43"/>
                <w:rFonts w:hint="eastAsia" w:asciiTheme="minorEastAsia" w:hAnsiTheme="minorEastAsia" w:eastAsiaTheme="minorEastAsia" w:cstheme="minorEastAsia"/>
                <w:color w:val="auto"/>
              </w:rPr>
              <w:drawing>
                <wp:anchor distT="0" distB="0" distL="114300" distR="114300" simplePos="0" relativeHeight="251667456" behindDoc="0" locked="0" layoutInCell="1" allowOverlap="1">
                  <wp:simplePos x="0" y="0"/>
                  <wp:positionH relativeFrom="column">
                    <wp:posOffset>0</wp:posOffset>
                  </wp:positionH>
                  <wp:positionV relativeFrom="paragraph">
                    <wp:posOffset>323850</wp:posOffset>
                  </wp:positionV>
                  <wp:extent cx="635" cy="0"/>
                  <wp:effectExtent l="0" t="0" r="0" b="0"/>
                  <wp:wrapNone/>
                  <wp:docPr id="91" name="Line_69_SpCnt_6"/>
                  <wp:cNvGraphicFramePr/>
                  <a:graphic xmlns:a="http://schemas.openxmlformats.org/drawingml/2006/main">
                    <a:graphicData uri="http://schemas.openxmlformats.org/drawingml/2006/picture">
                      <pic:pic xmlns:pic="http://schemas.openxmlformats.org/drawingml/2006/picture">
                        <pic:nvPicPr>
                          <pic:cNvPr id="91" name="Line_69_SpCnt_6"/>
                          <pic:cNvPicPr/>
                        </pic:nvPicPr>
                        <pic:blipFill>
                          <a:blip r:embed="rId10"/>
                          <a:stretch>
                            <a:fillRect/>
                          </a:stretch>
                        </pic:blipFill>
                        <pic:spPr>
                          <a:xfrm>
                            <a:off x="0" y="0"/>
                            <a:ext cx="635" cy="0"/>
                          </a:xfrm>
                          <a:prstGeom prst="rect">
                            <a:avLst/>
                          </a:prstGeom>
                          <a:noFill/>
                          <a:ln>
                            <a:noFill/>
                          </a:ln>
                        </pic:spPr>
                      </pic:pic>
                    </a:graphicData>
                  </a:graphic>
                </wp:anchor>
              </w:drawing>
            </w:r>
            <w:r>
              <w:rPr>
                <w:rStyle w:val="43"/>
                <w:rFonts w:hint="eastAsia" w:asciiTheme="minorEastAsia" w:hAnsiTheme="minorEastAsia" w:eastAsiaTheme="minorEastAsia" w:cstheme="minorEastAsia"/>
                <w:color w:val="auto"/>
              </w:rPr>
              <w:drawing>
                <wp:anchor distT="0" distB="0" distL="114300" distR="114300" simplePos="0" relativeHeight="251668480" behindDoc="0" locked="0" layoutInCell="1" allowOverlap="1">
                  <wp:simplePos x="0" y="0"/>
                  <wp:positionH relativeFrom="column">
                    <wp:posOffset>0</wp:posOffset>
                  </wp:positionH>
                  <wp:positionV relativeFrom="paragraph">
                    <wp:posOffset>323850</wp:posOffset>
                  </wp:positionV>
                  <wp:extent cx="635" cy="0"/>
                  <wp:effectExtent l="0" t="0" r="0" b="0"/>
                  <wp:wrapNone/>
                  <wp:docPr id="68" name="Line_69_SpCnt_7"/>
                  <wp:cNvGraphicFramePr/>
                  <a:graphic xmlns:a="http://schemas.openxmlformats.org/drawingml/2006/main">
                    <a:graphicData uri="http://schemas.openxmlformats.org/drawingml/2006/picture">
                      <pic:pic xmlns:pic="http://schemas.openxmlformats.org/drawingml/2006/picture">
                        <pic:nvPicPr>
                          <pic:cNvPr id="68" name="Line_69_SpCnt_7"/>
                          <pic:cNvPicPr/>
                        </pic:nvPicPr>
                        <pic:blipFill>
                          <a:blip r:embed="rId10"/>
                          <a:stretch>
                            <a:fillRect/>
                          </a:stretch>
                        </pic:blipFill>
                        <pic:spPr>
                          <a:xfrm>
                            <a:off x="0" y="0"/>
                            <a:ext cx="635" cy="0"/>
                          </a:xfrm>
                          <a:prstGeom prst="rect">
                            <a:avLst/>
                          </a:prstGeom>
                          <a:noFill/>
                          <a:ln>
                            <a:noFill/>
                          </a:ln>
                        </pic:spPr>
                      </pic:pic>
                    </a:graphicData>
                  </a:graphic>
                </wp:anchor>
              </w:drawing>
            </w:r>
            <w:r>
              <w:rPr>
                <w:rStyle w:val="43"/>
                <w:rFonts w:hint="eastAsia" w:asciiTheme="minorEastAsia" w:hAnsiTheme="minorEastAsia" w:eastAsiaTheme="minorEastAsia" w:cstheme="minorEastAsia"/>
                <w:color w:val="auto"/>
              </w:rPr>
              <w:drawing>
                <wp:anchor distT="0" distB="0" distL="114300" distR="114300" simplePos="0" relativeHeight="251669504" behindDoc="0" locked="0" layoutInCell="1" allowOverlap="1">
                  <wp:simplePos x="0" y="0"/>
                  <wp:positionH relativeFrom="column">
                    <wp:posOffset>0</wp:posOffset>
                  </wp:positionH>
                  <wp:positionV relativeFrom="paragraph">
                    <wp:posOffset>323850</wp:posOffset>
                  </wp:positionV>
                  <wp:extent cx="635" cy="0"/>
                  <wp:effectExtent l="0" t="0" r="0" b="0"/>
                  <wp:wrapNone/>
                  <wp:docPr id="67" name="Line_69_SpCnt_8"/>
                  <wp:cNvGraphicFramePr/>
                  <a:graphic xmlns:a="http://schemas.openxmlformats.org/drawingml/2006/main">
                    <a:graphicData uri="http://schemas.openxmlformats.org/drawingml/2006/picture">
                      <pic:pic xmlns:pic="http://schemas.openxmlformats.org/drawingml/2006/picture">
                        <pic:nvPicPr>
                          <pic:cNvPr id="67" name="Line_69_SpCnt_8"/>
                          <pic:cNvPicPr/>
                        </pic:nvPicPr>
                        <pic:blipFill>
                          <a:blip r:embed="rId10"/>
                          <a:stretch>
                            <a:fillRect/>
                          </a:stretch>
                        </pic:blipFill>
                        <pic:spPr>
                          <a:xfrm>
                            <a:off x="0" y="0"/>
                            <a:ext cx="635" cy="0"/>
                          </a:xfrm>
                          <a:prstGeom prst="rect">
                            <a:avLst/>
                          </a:prstGeom>
                          <a:noFill/>
                          <a:ln>
                            <a:noFill/>
                          </a:ln>
                        </pic:spPr>
                      </pic:pic>
                    </a:graphicData>
                  </a:graphic>
                </wp:anchor>
              </w:drawing>
            </w:r>
            <w:r>
              <w:rPr>
                <w:rStyle w:val="43"/>
                <w:rFonts w:hint="eastAsia" w:asciiTheme="minorEastAsia" w:hAnsiTheme="minorEastAsia" w:eastAsiaTheme="minorEastAsia" w:cstheme="minorEastAsia"/>
                <w:color w:val="auto"/>
              </w:rPr>
              <w:drawing>
                <wp:anchor distT="0" distB="0" distL="114300" distR="114300" simplePos="0" relativeHeight="251670528" behindDoc="0" locked="0" layoutInCell="1" allowOverlap="1">
                  <wp:simplePos x="0" y="0"/>
                  <wp:positionH relativeFrom="column">
                    <wp:posOffset>0</wp:posOffset>
                  </wp:positionH>
                  <wp:positionV relativeFrom="paragraph">
                    <wp:posOffset>323850</wp:posOffset>
                  </wp:positionV>
                  <wp:extent cx="635" cy="0"/>
                  <wp:effectExtent l="0" t="0" r="0" b="0"/>
                  <wp:wrapNone/>
                  <wp:docPr id="21" name="Line_69_SpCnt_9"/>
                  <wp:cNvGraphicFramePr/>
                  <a:graphic xmlns:a="http://schemas.openxmlformats.org/drawingml/2006/main">
                    <a:graphicData uri="http://schemas.openxmlformats.org/drawingml/2006/picture">
                      <pic:pic xmlns:pic="http://schemas.openxmlformats.org/drawingml/2006/picture">
                        <pic:nvPicPr>
                          <pic:cNvPr id="21" name="Line_69_SpCnt_9"/>
                          <pic:cNvPicPr/>
                        </pic:nvPicPr>
                        <pic:blipFill>
                          <a:blip r:embed="rId10"/>
                          <a:stretch>
                            <a:fillRect/>
                          </a:stretch>
                        </pic:blipFill>
                        <pic:spPr>
                          <a:xfrm>
                            <a:off x="0" y="0"/>
                            <a:ext cx="635" cy="0"/>
                          </a:xfrm>
                          <a:prstGeom prst="rect">
                            <a:avLst/>
                          </a:prstGeom>
                          <a:noFill/>
                          <a:ln>
                            <a:noFill/>
                          </a:ln>
                        </pic:spPr>
                      </pic:pic>
                    </a:graphicData>
                  </a:graphic>
                </wp:anchor>
              </w:drawing>
            </w:r>
            <w:r>
              <w:rPr>
                <w:rStyle w:val="43"/>
                <w:rFonts w:hint="eastAsia" w:asciiTheme="minorEastAsia" w:hAnsiTheme="minorEastAsia" w:eastAsiaTheme="minorEastAsia" w:cstheme="minorEastAsia"/>
                <w:color w:val="auto"/>
              </w:rPr>
              <w:drawing>
                <wp:anchor distT="0" distB="0" distL="114300" distR="114300" simplePos="0" relativeHeight="251671552" behindDoc="0" locked="0" layoutInCell="1" allowOverlap="1">
                  <wp:simplePos x="0" y="0"/>
                  <wp:positionH relativeFrom="column">
                    <wp:posOffset>0</wp:posOffset>
                  </wp:positionH>
                  <wp:positionV relativeFrom="paragraph">
                    <wp:posOffset>323850</wp:posOffset>
                  </wp:positionV>
                  <wp:extent cx="635" cy="0"/>
                  <wp:effectExtent l="0" t="0" r="0" b="0"/>
                  <wp:wrapNone/>
                  <wp:docPr id="64" name="Line_69_SpCnt_10"/>
                  <wp:cNvGraphicFramePr/>
                  <a:graphic xmlns:a="http://schemas.openxmlformats.org/drawingml/2006/main">
                    <a:graphicData uri="http://schemas.openxmlformats.org/drawingml/2006/picture">
                      <pic:pic xmlns:pic="http://schemas.openxmlformats.org/drawingml/2006/picture">
                        <pic:nvPicPr>
                          <pic:cNvPr id="64" name="Line_69_SpCnt_10"/>
                          <pic:cNvPicPr/>
                        </pic:nvPicPr>
                        <pic:blipFill>
                          <a:blip r:embed="rId10"/>
                          <a:stretch>
                            <a:fillRect/>
                          </a:stretch>
                        </pic:blipFill>
                        <pic:spPr>
                          <a:xfrm>
                            <a:off x="0" y="0"/>
                            <a:ext cx="635" cy="0"/>
                          </a:xfrm>
                          <a:prstGeom prst="rect">
                            <a:avLst/>
                          </a:prstGeom>
                          <a:noFill/>
                          <a:ln>
                            <a:noFill/>
                          </a:ln>
                        </pic:spPr>
                      </pic:pic>
                    </a:graphicData>
                  </a:graphic>
                </wp:anchor>
              </w:drawing>
            </w:r>
            <w:r>
              <w:rPr>
                <w:rStyle w:val="43"/>
                <w:rFonts w:hint="eastAsia" w:asciiTheme="minorEastAsia" w:hAnsiTheme="minorEastAsia" w:eastAsiaTheme="minorEastAsia" w:cstheme="minorEastAsia"/>
                <w:color w:val="auto"/>
              </w:rPr>
              <w:drawing>
                <wp:anchor distT="0" distB="0" distL="114300" distR="114300" simplePos="0" relativeHeight="251672576" behindDoc="0" locked="0" layoutInCell="1" allowOverlap="1">
                  <wp:simplePos x="0" y="0"/>
                  <wp:positionH relativeFrom="column">
                    <wp:posOffset>0</wp:posOffset>
                  </wp:positionH>
                  <wp:positionV relativeFrom="paragraph">
                    <wp:posOffset>323850</wp:posOffset>
                  </wp:positionV>
                  <wp:extent cx="635" cy="0"/>
                  <wp:effectExtent l="0" t="0" r="0" b="0"/>
                  <wp:wrapNone/>
                  <wp:docPr id="66" name="Line_69_SpCnt_11"/>
                  <wp:cNvGraphicFramePr/>
                  <a:graphic xmlns:a="http://schemas.openxmlformats.org/drawingml/2006/main">
                    <a:graphicData uri="http://schemas.openxmlformats.org/drawingml/2006/picture">
                      <pic:pic xmlns:pic="http://schemas.openxmlformats.org/drawingml/2006/picture">
                        <pic:nvPicPr>
                          <pic:cNvPr id="66" name="Line_69_SpCnt_11"/>
                          <pic:cNvPicPr/>
                        </pic:nvPicPr>
                        <pic:blipFill>
                          <a:blip r:embed="rId10"/>
                          <a:stretch>
                            <a:fillRect/>
                          </a:stretch>
                        </pic:blipFill>
                        <pic:spPr>
                          <a:xfrm>
                            <a:off x="0" y="0"/>
                            <a:ext cx="635" cy="0"/>
                          </a:xfrm>
                          <a:prstGeom prst="rect">
                            <a:avLst/>
                          </a:prstGeom>
                          <a:noFill/>
                          <a:ln>
                            <a:noFill/>
                          </a:ln>
                        </pic:spPr>
                      </pic:pic>
                    </a:graphicData>
                  </a:graphic>
                </wp:anchor>
              </w:drawing>
            </w:r>
            <w:r>
              <w:rPr>
                <w:rStyle w:val="43"/>
                <w:rFonts w:hint="eastAsia" w:asciiTheme="minorEastAsia" w:hAnsiTheme="minorEastAsia" w:eastAsiaTheme="minorEastAsia" w:cstheme="minorEastAsia"/>
                <w:color w:val="auto"/>
              </w:rPr>
              <w:drawing>
                <wp:anchor distT="0" distB="0" distL="114300" distR="114300" simplePos="0" relativeHeight="251673600" behindDoc="0" locked="0" layoutInCell="1" allowOverlap="1">
                  <wp:simplePos x="0" y="0"/>
                  <wp:positionH relativeFrom="column">
                    <wp:posOffset>0</wp:posOffset>
                  </wp:positionH>
                  <wp:positionV relativeFrom="paragraph">
                    <wp:posOffset>323850</wp:posOffset>
                  </wp:positionV>
                  <wp:extent cx="635" cy="0"/>
                  <wp:effectExtent l="0" t="0" r="0" b="0"/>
                  <wp:wrapNone/>
                  <wp:docPr id="65" name="Line_69_SpCnt_12"/>
                  <wp:cNvGraphicFramePr/>
                  <a:graphic xmlns:a="http://schemas.openxmlformats.org/drawingml/2006/main">
                    <a:graphicData uri="http://schemas.openxmlformats.org/drawingml/2006/picture">
                      <pic:pic xmlns:pic="http://schemas.openxmlformats.org/drawingml/2006/picture">
                        <pic:nvPicPr>
                          <pic:cNvPr id="65" name="Line_69_SpCnt_12"/>
                          <pic:cNvPicPr/>
                        </pic:nvPicPr>
                        <pic:blipFill>
                          <a:blip r:embed="rId10"/>
                          <a:stretch>
                            <a:fillRect/>
                          </a:stretch>
                        </pic:blipFill>
                        <pic:spPr>
                          <a:xfrm>
                            <a:off x="0" y="0"/>
                            <a:ext cx="635" cy="0"/>
                          </a:xfrm>
                          <a:prstGeom prst="rect">
                            <a:avLst/>
                          </a:prstGeom>
                          <a:noFill/>
                          <a:ln>
                            <a:noFill/>
                          </a:ln>
                        </pic:spPr>
                      </pic:pic>
                    </a:graphicData>
                  </a:graphic>
                </wp:anchor>
              </w:drawing>
            </w:r>
            <w:r>
              <w:rPr>
                <w:rStyle w:val="43"/>
                <w:rFonts w:hint="eastAsia" w:asciiTheme="minorEastAsia" w:hAnsiTheme="minorEastAsia" w:eastAsiaTheme="minorEastAsia" w:cstheme="minorEastAsia"/>
                <w:color w:val="auto"/>
              </w:rPr>
              <w:drawing>
                <wp:anchor distT="0" distB="0" distL="114300" distR="114300" simplePos="0" relativeHeight="251674624" behindDoc="0" locked="0" layoutInCell="1" allowOverlap="1">
                  <wp:simplePos x="0" y="0"/>
                  <wp:positionH relativeFrom="column">
                    <wp:posOffset>0</wp:posOffset>
                  </wp:positionH>
                  <wp:positionV relativeFrom="paragraph">
                    <wp:posOffset>323850</wp:posOffset>
                  </wp:positionV>
                  <wp:extent cx="635" cy="0"/>
                  <wp:effectExtent l="0" t="0" r="0" b="0"/>
                  <wp:wrapNone/>
                  <wp:docPr id="69" name="Line_69_SpCnt_13"/>
                  <wp:cNvGraphicFramePr/>
                  <a:graphic xmlns:a="http://schemas.openxmlformats.org/drawingml/2006/main">
                    <a:graphicData uri="http://schemas.openxmlformats.org/drawingml/2006/picture">
                      <pic:pic xmlns:pic="http://schemas.openxmlformats.org/drawingml/2006/picture">
                        <pic:nvPicPr>
                          <pic:cNvPr id="69" name="Line_69_SpCnt_13"/>
                          <pic:cNvPicPr/>
                        </pic:nvPicPr>
                        <pic:blipFill>
                          <a:blip r:embed="rId10"/>
                          <a:stretch>
                            <a:fillRect/>
                          </a:stretch>
                        </pic:blipFill>
                        <pic:spPr>
                          <a:xfrm>
                            <a:off x="0" y="0"/>
                            <a:ext cx="635" cy="0"/>
                          </a:xfrm>
                          <a:prstGeom prst="rect">
                            <a:avLst/>
                          </a:prstGeom>
                          <a:noFill/>
                          <a:ln>
                            <a:noFill/>
                          </a:ln>
                        </pic:spPr>
                      </pic:pic>
                    </a:graphicData>
                  </a:graphic>
                </wp:anchor>
              </w:drawing>
            </w:r>
            <w:r>
              <w:rPr>
                <w:rStyle w:val="43"/>
                <w:rFonts w:hint="eastAsia" w:asciiTheme="minorEastAsia" w:hAnsiTheme="minorEastAsia" w:eastAsiaTheme="minorEastAsia" w:cstheme="minorEastAsia"/>
                <w:color w:val="auto"/>
              </w:rPr>
              <w:drawing>
                <wp:anchor distT="0" distB="0" distL="114300" distR="114300" simplePos="0" relativeHeight="251675648" behindDoc="0" locked="0" layoutInCell="1" allowOverlap="1">
                  <wp:simplePos x="0" y="0"/>
                  <wp:positionH relativeFrom="column">
                    <wp:posOffset>0</wp:posOffset>
                  </wp:positionH>
                  <wp:positionV relativeFrom="paragraph">
                    <wp:posOffset>323850</wp:posOffset>
                  </wp:positionV>
                  <wp:extent cx="635" cy="0"/>
                  <wp:effectExtent l="0" t="0" r="0" b="0"/>
                  <wp:wrapNone/>
                  <wp:docPr id="45" name="Line_69_SpCnt_14"/>
                  <wp:cNvGraphicFramePr/>
                  <a:graphic xmlns:a="http://schemas.openxmlformats.org/drawingml/2006/main">
                    <a:graphicData uri="http://schemas.openxmlformats.org/drawingml/2006/picture">
                      <pic:pic xmlns:pic="http://schemas.openxmlformats.org/drawingml/2006/picture">
                        <pic:nvPicPr>
                          <pic:cNvPr id="45" name="Line_69_SpCnt_14"/>
                          <pic:cNvPicPr/>
                        </pic:nvPicPr>
                        <pic:blipFill>
                          <a:blip r:embed="rId10"/>
                          <a:stretch>
                            <a:fillRect/>
                          </a:stretch>
                        </pic:blipFill>
                        <pic:spPr>
                          <a:xfrm>
                            <a:off x="0" y="0"/>
                            <a:ext cx="635" cy="0"/>
                          </a:xfrm>
                          <a:prstGeom prst="rect">
                            <a:avLst/>
                          </a:prstGeom>
                          <a:noFill/>
                          <a:ln>
                            <a:noFill/>
                          </a:ln>
                        </pic:spPr>
                      </pic:pic>
                    </a:graphicData>
                  </a:graphic>
                </wp:anchor>
              </w:drawing>
            </w:r>
            <w:r>
              <w:rPr>
                <w:rStyle w:val="43"/>
                <w:rFonts w:hint="eastAsia" w:asciiTheme="minorEastAsia" w:hAnsiTheme="minorEastAsia" w:eastAsiaTheme="minorEastAsia" w:cstheme="minorEastAsia"/>
                <w:color w:val="auto"/>
              </w:rPr>
              <w:drawing>
                <wp:anchor distT="0" distB="0" distL="114300" distR="114300" simplePos="0" relativeHeight="251676672" behindDoc="0" locked="0" layoutInCell="1" allowOverlap="1">
                  <wp:simplePos x="0" y="0"/>
                  <wp:positionH relativeFrom="column">
                    <wp:posOffset>0</wp:posOffset>
                  </wp:positionH>
                  <wp:positionV relativeFrom="paragraph">
                    <wp:posOffset>323850</wp:posOffset>
                  </wp:positionV>
                  <wp:extent cx="635" cy="0"/>
                  <wp:effectExtent l="0" t="0" r="0" b="0"/>
                  <wp:wrapNone/>
                  <wp:docPr id="46" name="Line_69_SpCnt_15"/>
                  <wp:cNvGraphicFramePr/>
                  <a:graphic xmlns:a="http://schemas.openxmlformats.org/drawingml/2006/main">
                    <a:graphicData uri="http://schemas.openxmlformats.org/drawingml/2006/picture">
                      <pic:pic xmlns:pic="http://schemas.openxmlformats.org/drawingml/2006/picture">
                        <pic:nvPicPr>
                          <pic:cNvPr id="46" name="Line_69_SpCnt_15"/>
                          <pic:cNvPicPr/>
                        </pic:nvPicPr>
                        <pic:blipFill>
                          <a:blip r:embed="rId10"/>
                          <a:stretch>
                            <a:fillRect/>
                          </a:stretch>
                        </pic:blipFill>
                        <pic:spPr>
                          <a:xfrm>
                            <a:off x="0" y="0"/>
                            <a:ext cx="635" cy="0"/>
                          </a:xfrm>
                          <a:prstGeom prst="rect">
                            <a:avLst/>
                          </a:prstGeom>
                          <a:noFill/>
                          <a:ln>
                            <a:noFill/>
                          </a:ln>
                        </pic:spPr>
                      </pic:pic>
                    </a:graphicData>
                  </a:graphic>
                </wp:anchor>
              </w:drawing>
            </w:r>
            <w:r>
              <w:rPr>
                <w:rStyle w:val="43"/>
                <w:rFonts w:hint="eastAsia" w:asciiTheme="minorEastAsia" w:hAnsiTheme="minorEastAsia" w:eastAsiaTheme="minorEastAsia" w:cstheme="minorEastAsia"/>
                <w:color w:val="auto"/>
              </w:rPr>
              <w:drawing>
                <wp:anchor distT="0" distB="0" distL="114300" distR="114300" simplePos="0" relativeHeight="251677696" behindDoc="0" locked="0" layoutInCell="1" allowOverlap="1">
                  <wp:simplePos x="0" y="0"/>
                  <wp:positionH relativeFrom="column">
                    <wp:posOffset>0</wp:posOffset>
                  </wp:positionH>
                  <wp:positionV relativeFrom="paragraph">
                    <wp:posOffset>323850</wp:posOffset>
                  </wp:positionV>
                  <wp:extent cx="635" cy="0"/>
                  <wp:effectExtent l="0" t="0" r="0" b="0"/>
                  <wp:wrapNone/>
                  <wp:docPr id="44" name="Line_69_SpCnt_16"/>
                  <wp:cNvGraphicFramePr/>
                  <a:graphic xmlns:a="http://schemas.openxmlformats.org/drawingml/2006/main">
                    <a:graphicData uri="http://schemas.openxmlformats.org/drawingml/2006/picture">
                      <pic:pic xmlns:pic="http://schemas.openxmlformats.org/drawingml/2006/picture">
                        <pic:nvPicPr>
                          <pic:cNvPr id="44" name="Line_69_SpCnt_16"/>
                          <pic:cNvPicPr/>
                        </pic:nvPicPr>
                        <pic:blipFill>
                          <a:blip r:embed="rId10"/>
                          <a:stretch>
                            <a:fillRect/>
                          </a:stretch>
                        </pic:blipFill>
                        <pic:spPr>
                          <a:xfrm>
                            <a:off x="0" y="0"/>
                            <a:ext cx="635" cy="0"/>
                          </a:xfrm>
                          <a:prstGeom prst="rect">
                            <a:avLst/>
                          </a:prstGeom>
                          <a:noFill/>
                          <a:ln>
                            <a:noFill/>
                          </a:ln>
                        </pic:spPr>
                      </pic:pic>
                    </a:graphicData>
                  </a:graphic>
                </wp:anchor>
              </w:drawing>
            </w:r>
            <w:r>
              <w:rPr>
                <w:rStyle w:val="43"/>
                <w:rFonts w:hint="eastAsia" w:asciiTheme="minorEastAsia" w:hAnsiTheme="minorEastAsia" w:eastAsiaTheme="minorEastAsia" w:cstheme="minorEastAsia"/>
                <w:color w:val="auto"/>
              </w:rPr>
              <w:drawing>
                <wp:anchor distT="0" distB="0" distL="114300" distR="114300" simplePos="0" relativeHeight="251678720" behindDoc="0" locked="0" layoutInCell="1" allowOverlap="1">
                  <wp:simplePos x="0" y="0"/>
                  <wp:positionH relativeFrom="column">
                    <wp:posOffset>0</wp:posOffset>
                  </wp:positionH>
                  <wp:positionV relativeFrom="paragraph">
                    <wp:posOffset>323850</wp:posOffset>
                  </wp:positionV>
                  <wp:extent cx="635" cy="0"/>
                  <wp:effectExtent l="0" t="0" r="0" b="0"/>
                  <wp:wrapNone/>
                  <wp:docPr id="70" name="Line_69_SpCnt_17"/>
                  <wp:cNvGraphicFramePr/>
                  <a:graphic xmlns:a="http://schemas.openxmlformats.org/drawingml/2006/main">
                    <a:graphicData uri="http://schemas.openxmlformats.org/drawingml/2006/picture">
                      <pic:pic xmlns:pic="http://schemas.openxmlformats.org/drawingml/2006/picture">
                        <pic:nvPicPr>
                          <pic:cNvPr id="70" name="Line_69_SpCnt_17"/>
                          <pic:cNvPicPr/>
                        </pic:nvPicPr>
                        <pic:blipFill>
                          <a:blip r:embed="rId10"/>
                          <a:stretch>
                            <a:fillRect/>
                          </a:stretch>
                        </pic:blipFill>
                        <pic:spPr>
                          <a:xfrm>
                            <a:off x="0" y="0"/>
                            <a:ext cx="635" cy="0"/>
                          </a:xfrm>
                          <a:prstGeom prst="rect">
                            <a:avLst/>
                          </a:prstGeom>
                          <a:noFill/>
                          <a:ln>
                            <a:noFill/>
                          </a:ln>
                        </pic:spPr>
                      </pic:pic>
                    </a:graphicData>
                  </a:graphic>
                </wp:anchor>
              </w:drawing>
            </w:r>
            <w:r>
              <w:rPr>
                <w:rStyle w:val="43"/>
                <w:rFonts w:hint="eastAsia" w:asciiTheme="minorEastAsia" w:hAnsiTheme="minorEastAsia" w:eastAsiaTheme="minorEastAsia" w:cstheme="minorEastAsia"/>
                <w:color w:val="auto"/>
              </w:rPr>
              <w:drawing>
                <wp:anchor distT="0" distB="0" distL="114300" distR="114300" simplePos="0" relativeHeight="251679744" behindDoc="0" locked="0" layoutInCell="1" allowOverlap="1">
                  <wp:simplePos x="0" y="0"/>
                  <wp:positionH relativeFrom="column">
                    <wp:posOffset>0</wp:posOffset>
                  </wp:positionH>
                  <wp:positionV relativeFrom="paragraph">
                    <wp:posOffset>323850</wp:posOffset>
                  </wp:positionV>
                  <wp:extent cx="635" cy="0"/>
                  <wp:effectExtent l="0" t="0" r="0" b="0"/>
                  <wp:wrapNone/>
                  <wp:docPr id="62" name="Line_69_SpCnt_18"/>
                  <wp:cNvGraphicFramePr/>
                  <a:graphic xmlns:a="http://schemas.openxmlformats.org/drawingml/2006/main">
                    <a:graphicData uri="http://schemas.openxmlformats.org/drawingml/2006/picture">
                      <pic:pic xmlns:pic="http://schemas.openxmlformats.org/drawingml/2006/picture">
                        <pic:nvPicPr>
                          <pic:cNvPr id="62" name="Line_69_SpCnt_18"/>
                          <pic:cNvPicPr/>
                        </pic:nvPicPr>
                        <pic:blipFill>
                          <a:blip r:embed="rId10"/>
                          <a:stretch>
                            <a:fillRect/>
                          </a:stretch>
                        </pic:blipFill>
                        <pic:spPr>
                          <a:xfrm>
                            <a:off x="0" y="0"/>
                            <a:ext cx="635" cy="0"/>
                          </a:xfrm>
                          <a:prstGeom prst="rect">
                            <a:avLst/>
                          </a:prstGeom>
                          <a:noFill/>
                          <a:ln>
                            <a:noFill/>
                          </a:ln>
                        </pic:spPr>
                      </pic:pic>
                    </a:graphicData>
                  </a:graphic>
                </wp:anchor>
              </w:drawing>
            </w:r>
            <w:r>
              <w:rPr>
                <w:rStyle w:val="43"/>
                <w:rFonts w:hint="eastAsia" w:asciiTheme="minorEastAsia" w:hAnsiTheme="minorEastAsia" w:eastAsiaTheme="minorEastAsia" w:cstheme="minorEastAsia"/>
                <w:color w:val="auto"/>
              </w:rPr>
              <w:drawing>
                <wp:anchor distT="0" distB="0" distL="114300" distR="114300" simplePos="0" relativeHeight="251680768" behindDoc="0" locked="0" layoutInCell="1" allowOverlap="1">
                  <wp:simplePos x="0" y="0"/>
                  <wp:positionH relativeFrom="column">
                    <wp:posOffset>0</wp:posOffset>
                  </wp:positionH>
                  <wp:positionV relativeFrom="paragraph">
                    <wp:posOffset>323850</wp:posOffset>
                  </wp:positionV>
                  <wp:extent cx="635" cy="0"/>
                  <wp:effectExtent l="0" t="0" r="0" b="0"/>
                  <wp:wrapNone/>
                  <wp:docPr id="60" name="Line_69_SpCnt_19"/>
                  <wp:cNvGraphicFramePr/>
                  <a:graphic xmlns:a="http://schemas.openxmlformats.org/drawingml/2006/main">
                    <a:graphicData uri="http://schemas.openxmlformats.org/drawingml/2006/picture">
                      <pic:pic xmlns:pic="http://schemas.openxmlformats.org/drawingml/2006/picture">
                        <pic:nvPicPr>
                          <pic:cNvPr id="60" name="Line_69_SpCnt_19"/>
                          <pic:cNvPicPr/>
                        </pic:nvPicPr>
                        <pic:blipFill>
                          <a:blip r:embed="rId10"/>
                          <a:stretch>
                            <a:fillRect/>
                          </a:stretch>
                        </pic:blipFill>
                        <pic:spPr>
                          <a:xfrm>
                            <a:off x="0" y="0"/>
                            <a:ext cx="635" cy="0"/>
                          </a:xfrm>
                          <a:prstGeom prst="rect">
                            <a:avLst/>
                          </a:prstGeom>
                          <a:noFill/>
                          <a:ln>
                            <a:noFill/>
                          </a:ln>
                        </pic:spPr>
                      </pic:pic>
                    </a:graphicData>
                  </a:graphic>
                </wp:anchor>
              </w:drawing>
            </w:r>
            <w:r>
              <w:rPr>
                <w:rStyle w:val="43"/>
                <w:rFonts w:asciiTheme="minorEastAsia" w:hAnsiTheme="minorEastAsia" w:eastAsiaTheme="minorEastAsia" w:cstheme="minorEastAsia"/>
                <w:color w:val="auto"/>
              </w:rPr>
              <w:t>金额</w:t>
            </w:r>
          </w:p>
        </w:tc>
        <w:tc>
          <w:tcPr>
            <w:tcW w:w="11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Style w:val="43"/>
                <w:rFonts w:asciiTheme="minorEastAsia" w:hAnsiTheme="minorEastAsia" w:eastAsiaTheme="minorEastAsia" w:cstheme="minorEastAsia"/>
                <w:color w:val="auto"/>
              </w:rPr>
            </w:pPr>
            <w:r>
              <w:rPr>
                <w:rStyle w:val="43"/>
                <w:rFonts w:asciiTheme="minorEastAsia" w:hAnsiTheme="minorEastAsia" w:eastAsiaTheme="minorEastAsia" w:cstheme="minorEastAsia"/>
                <w:color w:val="auto"/>
              </w:rPr>
              <w:t>小计</w:t>
            </w:r>
          </w:p>
        </w:tc>
      </w:tr>
      <w:tr>
        <w:tblPrEx>
          <w:tblCellMar>
            <w:top w:w="0" w:type="dxa"/>
            <w:left w:w="108" w:type="dxa"/>
            <w:bottom w:w="0" w:type="dxa"/>
            <w:right w:w="108" w:type="dxa"/>
          </w:tblCellMar>
        </w:tblPrEx>
        <w:trPr>
          <w:trHeight w:val="327" w:hRule="atLeast"/>
        </w:trPr>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auto"/>
                <w:kern w:val="0"/>
                <w:sz w:val="24"/>
                <w:lang w:eastAsia="zh-CN"/>
              </w:rPr>
            </w:pPr>
            <w:r>
              <w:rPr>
                <w:rFonts w:hint="eastAsia" w:asciiTheme="minorEastAsia" w:hAnsiTheme="minorEastAsia" w:eastAsiaTheme="minorEastAsia" w:cstheme="minorEastAsia"/>
                <w:color w:val="auto"/>
                <w:kern w:val="0"/>
                <w:sz w:val="24"/>
                <w:lang w:eastAsia="zh-CN"/>
              </w:rPr>
              <w:t>第八</w:t>
            </w:r>
            <w:r>
              <w:rPr>
                <w:rFonts w:hint="eastAsia" w:asciiTheme="minorEastAsia" w:hAnsiTheme="minorEastAsia" w:eastAsiaTheme="minorEastAsia" w:cstheme="minorEastAsia"/>
                <w:color w:val="auto"/>
                <w:kern w:val="0"/>
                <w:sz w:val="24"/>
              </w:rPr>
              <w:t>标</w:t>
            </w:r>
            <w:r>
              <w:rPr>
                <w:rFonts w:hint="eastAsia" w:asciiTheme="minorEastAsia" w:hAnsiTheme="minorEastAsia" w:eastAsiaTheme="minorEastAsia" w:cstheme="minorEastAsia"/>
                <w:color w:val="auto"/>
                <w:kern w:val="0"/>
                <w:sz w:val="24"/>
                <w:lang w:val="en-US" w:eastAsia="zh-CN"/>
              </w:rPr>
              <w:t>段</w:t>
            </w:r>
          </w:p>
        </w:tc>
        <w:tc>
          <w:tcPr>
            <w:tcW w:w="1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安全员携行箱</w:t>
            </w:r>
          </w:p>
        </w:tc>
        <w:tc>
          <w:tcPr>
            <w:tcW w:w="21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安全员携行箱</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13</w:t>
            </w:r>
          </w:p>
        </w:tc>
        <w:tc>
          <w:tcPr>
            <w:tcW w:w="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10</w:t>
            </w:r>
          </w:p>
        </w:tc>
        <w:tc>
          <w:tcPr>
            <w:tcW w:w="8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套</w:t>
            </w:r>
          </w:p>
        </w:tc>
        <w:tc>
          <w:tcPr>
            <w:tcW w:w="10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130</w:t>
            </w:r>
          </w:p>
        </w:tc>
        <w:tc>
          <w:tcPr>
            <w:tcW w:w="11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default"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130</w:t>
            </w:r>
          </w:p>
        </w:tc>
      </w:tr>
      <w:tr>
        <w:tblPrEx>
          <w:tblCellMar>
            <w:top w:w="0" w:type="dxa"/>
            <w:left w:w="108" w:type="dxa"/>
            <w:bottom w:w="0" w:type="dxa"/>
            <w:right w:w="108" w:type="dxa"/>
          </w:tblCellMar>
        </w:tblPrEx>
        <w:trPr>
          <w:trHeight w:val="327" w:hRule="atLeast"/>
        </w:trPr>
        <w:tc>
          <w:tcPr>
            <w:tcW w:w="1220" w:type="dxa"/>
            <w:vMerge w:val="restart"/>
            <w:tcBorders>
              <w:top w:val="single" w:color="000000" w:sz="4" w:space="0"/>
              <w:left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auto"/>
                <w:kern w:val="0"/>
                <w:sz w:val="24"/>
                <w:lang w:eastAsia="zh-CN"/>
              </w:rPr>
            </w:pPr>
            <w:r>
              <w:rPr>
                <w:rFonts w:hint="eastAsia" w:asciiTheme="minorEastAsia" w:hAnsiTheme="minorEastAsia" w:eastAsiaTheme="minorEastAsia" w:cstheme="minorEastAsia"/>
                <w:color w:val="auto"/>
                <w:kern w:val="0"/>
                <w:sz w:val="24"/>
                <w:lang w:eastAsia="zh-CN"/>
              </w:rPr>
              <w:t>第九</w:t>
            </w:r>
            <w:r>
              <w:rPr>
                <w:rFonts w:hint="eastAsia" w:asciiTheme="minorEastAsia" w:hAnsiTheme="minorEastAsia" w:eastAsiaTheme="minorEastAsia" w:cstheme="minorEastAsia"/>
                <w:color w:val="auto"/>
                <w:kern w:val="0"/>
                <w:sz w:val="24"/>
              </w:rPr>
              <w:t>标</w:t>
            </w:r>
            <w:r>
              <w:rPr>
                <w:rFonts w:hint="eastAsia" w:asciiTheme="minorEastAsia" w:hAnsiTheme="minorEastAsia" w:eastAsiaTheme="minorEastAsia" w:cstheme="minorEastAsia"/>
                <w:color w:val="auto"/>
                <w:kern w:val="0"/>
                <w:sz w:val="24"/>
                <w:lang w:val="en-US" w:eastAsia="zh-CN"/>
              </w:rPr>
              <w:t>段</w:t>
            </w:r>
          </w:p>
        </w:tc>
        <w:tc>
          <w:tcPr>
            <w:tcW w:w="1681" w:type="dxa"/>
            <w:vMerge w:val="restart"/>
            <w:tcBorders>
              <w:top w:val="single" w:color="000000" w:sz="4" w:space="0"/>
              <w:left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auto"/>
                <w:sz w:val="24"/>
              </w:rPr>
            </w:pPr>
            <w:r>
              <w:rPr>
                <w:rFonts w:hint="eastAsia" w:ascii="宋体" w:hAnsi="宋体" w:eastAsia="宋体" w:cs="宋体"/>
                <w:b w:val="0"/>
                <w:bCs w:val="0"/>
                <w:i w:val="0"/>
                <w:iCs w:val="0"/>
                <w:color w:val="auto"/>
                <w:kern w:val="0"/>
                <w:sz w:val="24"/>
                <w:szCs w:val="24"/>
                <w:u w:val="none"/>
                <w:lang w:val="en-US" w:eastAsia="zh-CN" w:bidi="ar"/>
              </w:rPr>
              <w:t>热成像空气呼吸器</w:t>
            </w:r>
            <w:r>
              <w:rPr>
                <w:rFonts w:hint="eastAsia" w:asciiTheme="minorEastAsia" w:hAnsiTheme="minorEastAsia" w:eastAsiaTheme="minorEastAsia" w:cstheme="minorEastAsia"/>
                <w:color w:val="auto"/>
                <w:sz w:val="24"/>
              </w:rPr>
              <w:t xml:space="preserve">等 </w:t>
            </w:r>
          </w:p>
        </w:tc>
        <w:tc>
          <w:tcPr>
            <w:tcW w:w="21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热成像空气呼吸器</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6.5</w:t>
            </w:r>
          </w:p>
        </w:tc>
        <w:tc>
          <w:tcPr>
            <w:tcW w:w="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12</w:t>
            </w:r>
          </w:p>
        </w:tc>
        <w:tc>
          <w:tcPr>
            <w:tcW w:w="8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套</w:t>
            </w:r>
          </w:p>
        </w:tc>
        <w:tc>
          <w:tcPr>
            <w:tcW w:w="10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78</w:t>
            </w:r>
          </w:p>
        </w:tc>
        <w:tc>
          <w:tcPr>
            <w:tcW w:w="1127" w:type="dxa"/>
            <w:vMerge w:val="restart"/>
            <w:tcBorders>
              <w:top w:val="single" w:color="000000" w:sz="4" w:space="0"/>
              <w:left w:val="single" w:color="000000" w:sz="4" w:space="0"/>
              <w:right w:val="single" w:color="000000" w:sz="4" w:space="0"/>
            </w:tcBorders>
            <w:shd w:val="clear" w:color="auto" w:fill="auto"/>
            <w:noWrap/>
            <w:vAlign w:val="center"/>
          </w:tcPr>
          <w:p>
            <w:pPr>
              <w:widowControl/>
              <w:jc w:val="center"/>
              <w:textAlignment w:val="center"/>
              <w:rPr>
                <w:rFonts w:hint="default" w:asciiTheme="minorEastAsia" w:hAnsiTheme="minorEastAsia" w:eastAsiaTheme="minorEastAsia" w:cstheme="minorEastAsia"/>
                <w:color w:val="auto"/>
                <w:kern w:val="0"/>
                <w:sz w:val="24"/>
                <w:lang w:val="en-US" w:eastAsia="zh-CN"/>
              </w:rPr>
            </w:pPr>
            <w:r>
              <w:rPr>
                <w:rFonts w:hint="eastAsia" w:asciiTheme="minorEastAsia" w:hAnsiTheme="minorEastAsia" w:eastAsiaTheme="minorEastAsia" w:cstheme="minorEastAsia"/>
                <w:color w:val="auto"/>
                <w:kern w:val="0"/>
                <w:sz w:val="24"/>
                <w:lang w:val="en-US" w:eastAsia="zh-CN"/>
              </w:rPr>
              <w:t>168</w:t>
            </w:r>
          </w:p>
        </w:tc>
      </w:tr>
      <w:tr>
        <w:tblPrEx>
          <w:tblCellMar>
            <w:top w:w="0" w:type="dxa"/>
            <w:left w:w="108" w:type="dxa"/>
            <w:bottom w:w="0" w:type="dxa"/>
            <w:right w:w="108" w:type="dxa"/>
          </w:tblCellMar>
        </w:tblPrEx>
        <w:trPr>
          <w:trHeight w:val="327" w:hRule="atLeast"/>
        </w:trPr>
        <w:tc>
          <w:tcPr>
            <w:tcW w:w="1220" w:type="dxa"/>
            <w:vMerge w:val="continue"/>
            <w:tcBorders>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auto"/>
                <w:kern w:val="0"/>
                <w:sz w:val="24"/>
                <w:lang w:eastAsia="zh-CN"/>
              </w:rPr>
            </w:pPr>
          </w:p>
        </w:tc>
        <w:tc>
          <w:tcPr>
            <w:tcW w:w="1681" w:type="dxa"/>
            <w:vMerge w:val="continue"/>
            <w:tcBorders>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auto"/>
                <w:sz w:val="24"/>
              </w:rPr>
            </w:pPr>
          </w:p>
        </w:tc>
        <w:tc>
          <w:tcPr>
            <w:tcW w:w="21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氧气呼吸器</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4.5</w:t>
            </w:r>
          </w:p>
        </w:tc>
        <w:tc>
          <w:tcPr>
            <w:tcW w:w="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20</w:t>
            </w:r>
          </w:p>
        </w:tc>
        <w:tc>
          <w:tcPr>
            <w:tcW w:w="8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套</w:t>
            </w:r>
          </w:p>
        </w:tc>
        <w:tc>
          <w:tcPr>
            <w:tcW w:w="10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90</w:t>
            </w:r>
          </w:p>
        </w:tc>
        <w:tc>
          <w:tcPr>
            <w:tcW w:w="1127" w:type="dxa"/>
            <w:vMerge w:val="continue"/>
            <w:tcBorders>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auto"/>
                <w:kern w:val="0"/>
                <w:sz w:val="24"/>
                <w:lang w:val="en-US" w:eastAsia="zh-CN"/>
              </w:rPr>
            </w:pPr>
          </w:p>
        </w:tc>
      </w:tr>
      <w:tr>
        <w:tblPrEx>
          <w:tblCellMar>
            <w:top w:w="0" w:type="dxa"/>
            <w:left w:w="108" w:type="dxa"/>
            <w:bottom w:w="0" w:type="dxa"/>
            <w:right w:w="108" w:type="dxa"/>
          </w:tblCellMar>
        </w:tblPrEx>
        <w:trPr>
          <w:trHeight w:val="337" w:hRule="atLeast"/>
        </w:trPr>
        <w:tc>
          <w:tcPr>
            <w:tcW w:w="631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drawing>
                <wp:anchor distT="0" distB="0" distL="114300" distR="114300" simplePos="0" relativeHeight="251681792" behindDoc="0" locked="0" layoutInCell="1" allowOverlap="1">
                  <wp:simplePos x="0" y="0"/>
                  <wp:positionH relativeFrom="column">
                    <wp:posOffset>0</wp:posOffset>
                  </wp:positionH>
                  <wp:positionV relativeFrom="paragraph">
                    <wp:posOffset>0</wp:posOffset>
                  </wp:positionV>
                  <wp:extent cx="635" cy="0"/>
                  <wp:effectExtent l="0" t="0" r="0" b="0"/>
                  <wp:wrapNone/>
                  <wp:docPr id="394" name="Line_66_SpCnt_1"/>
                  <wp:cNvGraphicFramePr/>
                  <a:graphic xmlns:a="http://schemas.openxmlformats.org/drawingml/2006/main">
                    <a:graphicData uri="http://schemas.openxmlformats.org/drawingml/2006/picture">
                      <pic:pic xmlns:pic="http://schemas.openxmlformats.org/drawingml/2006/picture">
                        <pic:nvPicPr>
                          <pic:cNvPr id="394" name="Line_66_SpCnt_1"/>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682816" behindDoc="0" locked="0" layoutInCell="1" allowOverlap="1">
                  <wp:simplePos x="0" y="0"/>
                  <wp:positionH relativeFrom="column">
                    <wp:posOffset>0</wp:posOffset>
                  </wp:positionH>
                  <wp:positionV relativeFrom="paragraph">
                    <wp:posOffset>0</wp:posOffset>
                  </wp:positionV>
                  <wp:extent cx="635" cy="0"/>
                  <wp:effectExtent l="0" t="0" r="0" b="0"/>
                  <wp:wrapNone/>
                  <wp:docPr id="132" name="Line_61_SpCnt_2"/>
                  <wp:cNvGraphicFramePr/>
                  <a:graphic xmlns:a="http://schemas.openxmlformats.org/drawingml/2006/main">
                    <a:graphicData uri="http://schemas.openxmlformats.org/drawingml/2006/picture">
                      <pic:pic xmlns:pic="http://schemas.openxmlformats.org/drawingml/2006/picture">
                        <pic:nvPicPr>
                          <pic:cNvPr id="132" name="Line_61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683840" behindDoc="0" locked="0" layoutInCell="1" allowOverlap="1">
                  <wp:simplePos x="0" y="0"/>
                  <wp:positionH relativeFrom="column">
                    <wp:posOffset>0</wp:posOffset>
                  </wp:positionH>
                  <wp:positionV relativeFrom="paragraph">
                    <wp:posOffset>0</wp:posOffset>
                  </wp:positionV>
                  <wp:extent cx="635" cy="0"/>
                  <wp:effectExtent l="0" t="0" r="0" b="0"/>
                  <wp:wrapNone/>
                  <wp:docPr id="133" name="Line_69_SpCnt_43"/>
                  <wp:cNvGraphicFramePr/>
                  <a:graphic xmlns:a="http://schemas.openxmlformats.org/drawingml/2006/main">
                    <a:graphicData uri="http://schemas.openxmlformats.org/drawingml/2006/picture">
                      <pic:pic xmlns:pic="http://schemas.openxmlformats.org/drawingml/2006/picture">
                        <pic:nvPicPr>
                          <pic:cNvPr id="133" name="Line_69_SpCnt_4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684864" behindDoc="0" locked="0" layoutInCell="1" allowOverlap="1">
                  <wp:simplePos x="0" y="0"/>
                  <wp:positionH relativeFrom="column">
                    <wp:posOffset>0</wp:posOffset>
                  </wp:positionH>
                  <wp:positionV relativeFrom="paragraph">
                    <wp:posOffset>0</wp:posOffset>
                  </wp:positionV>
                  <wp:extent cx="635" cy="0"/>
                  <wp:effectExtent l="0" t="0" r="0" b="0"/>
                  <wp:wrapNone/>
                  <wp:docPr id="134" name="Line_66_SpCnt_2"/>
                  <wp:cNvGraphicFramePr/>
                  <a:graphic xmlns:a="http://schemas.openxmlformats.org/drawingml/2006/main">
                    <a:graphicData uri="http://schemas.openxmlformats.org/drawingml/2006/picture">
                      <pic:pic xmlns:pic="http://schemas.openxmlformats.org/drawingml/2006/picture">
                        <pic:nvPicPr>
                          <pic:cNvPr id="134" name="Line_66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685888" behindDoc="0" locked="0" layoutInCell="1" allowOverlap="1">
                  <wp:simplePos x="0" y="0"/>
                  <wp:positionH relativeFrom="column">
                    <wp:posOffset>0</wp:posOffset>
                  </wp:positionH>
                  <wp:positionV relativeFrom="paragraph">
                    <wp:posOffset>0</wp:posOffset>
                  </wp:positionV>
                  <wp:extent cx="635" cy="0"/>
                  <wp:effectExtent l="0" t="0" r="0" b="0"/>
                  <wp:wrapNone/>
                  <wp:docPr id="135" name="Line_45_SpCnt_2"/>
                  <wp:cNvGraphicFramePr/>
                  <a:graphic xmlns:a="http://schemas.openxmlformats.org/drawingml/2006/main">
                    <a:graphicData uri="http://schemas.openxmlformats.org/drawingml/2006/picture">
                      <pic:pic xmlns:pic="http://schemas.openxmlformats.org/drawingml/2006/picture">
                        <pic:nvPicPr>
                          <pic:cNvPr id="135" name="Line_45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686912" behindDoc="0" locked="0" layoutInCell="1" allowOverlap="1">
                  <wp:simplePos x="0" y="0"/>
                  <wp:positionH relativeFrom="column">
                    <wp:posOffset>0</wp:posOffset>
                  </wp:positionH>
                  <wp:positionV relativeFrom="paragraph">
                    <wp:posOffset>0</wp:posOffset>
                  </wp:positionV>
                  <wp:extent cx="635" cy="0"/>
                  <wp:effectExtent l="0" t="0" r="0" b="0"/>
                  <wp:wrapNone/>
                  <wp:docPr id="136" name="Line_37_SpCnt_2"/>
                  <wp:cNvGraphicFramePr/>
                  <a:graphic xmlns:a="http://schemas.openxmlformats.org/drawingml/2006/main">
                    <a:graphicData uri="http://schemas.openxmlformats.org/drawingml/2006/picture">
                      <pic:pic xmlns:pic="http://schemas.openxmlformats.org/drawingml/2006/picture">
                        <pic:nvPicPr>
                          <pic:cNvPr id="136" name="Line_37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687936" behindDoc="0" locked="0" layoutInCell="1" allowOverlap="1">
                  <wp:simplePos x="0" y="0"/>
                  <wp:positionH relativeFrom="column">
                    <wp:posOffset>0</wp:posOffset>
                  </wp:positionH>
                  <wp:positionV relativeFrom="paragraph">
                    <wp:posOffset>0</wp:posOffset>
                  </wp:positionV>
                  <wp:extent cx="635" cy="0"/>
                  <wp:effectExtent l="0" t="0" r="0" b="0"/>
                  <wp:wrapNone/>
                  <wp:docPr id="137" name="Line_48_SpCnt_2"/>
                  <wp:cNvGraphicFramePr/>
                  <a:graphic xmlns:a="http://schemas.openxmlformats.org/drawingml/2006/main">
                    <a:graphicData uri="http://schemas.openxmlformats.org/drawingml/2006/picture">
                      <pic:pic xmlns:pic="http://schemas.openxmlformats.org/drawingml/2006/picture">
                        <pic:nvPicPr>
                          <pic:cNvPr id="137" name="Line_48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688960" behindDoc="0" locked="0" layoutInCell="1" allowOverlap="1">
                  <wp:simplePos x="0" y="0"/>
                  <wp:positionH relativeFrom="column">
                    <wp:posOffset>0</wp:posOffset>
                  </wp:positionH>
                  <wp:positionV relativeFrom="paragraph">
                    <wp:posOffset>0</wp:posOffset>
                  </wp:positionV>
                  <wp:extent cx="635" cy="0"/>
                  <wp:effectExtent l="0" t="0" r="0" b="0"/>
                  <wp:wrapNone/>
                  <wp:docPr id="138" name="Line_35_SpCnt_2"/>
                  <wp:cNvGraphicFramePr/>
                  <a:graphic xmlns:a="http://schemas.openxmlformats.org/drawingml/2006/main">
                    <a:graphicData uri="http://schemas.openxmlformats.org/drawingml/2006/picture">
                      <pic:pic xmlns:pic="http://schemas.openxmlformats.org/drawingml/2006/picture">
                        <pic:nvPicPr>
                          <pic:cNvPr id="138" name="Line_35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689984" behindDoc="0" locked="0" layoutInCell="1" allowOverlap="1">
                  <wp:simplePos x="0" y="0"/>
                  <wp:positionH relativeFrom="column">
                    <wp:posOffset>0</wp:posOffset>
                  </wp:positionH>
                  <wp:positionV relativeFrom="paragraph">
                    <wp:posOffset>0</wp:posOffset>
                  </wp:positionV>
                  <wp:extent cx="635" cy="0"/>
                  <wp:effectExtent l="0" t="0" r="0" b="0"/>
                  <wp:wrapNone/>
                  <wp:docPr id="139" name="Line_47_SpCnt_2"/>
                  <wp:cNvGraphicFramePr/>
                  <a:graphic xmlns:a="http://schemas.openxmlformats.org/drawingml/2006/main">
                    <a:graphicData uri="http://schemas.openxmlformats.org/drawingml/2006/picture">
                      <pic:pic xmlns:pic="http://schemas.openxmlformats.org/drawingml/2006/picture">
                        <pic:nvPicPr>
                          <pic:cNvPr id="139" name="Line_47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691008" behindDoc="0" locked="0" layoutInCell="1" allowOverlap="1">
                  <wp:simplePos x="0" y="0"/>
                  <wp:positionH relativeFrom="column">
                    <wp:posOffset>0</wp:posOffset>
                  </wp:positionH>
                  <wp:positionV relativeFrom="paragraph">
                    <wp:posOffset>0</wp:posOffset>
                  </wp:positionV>
                  <wp:extent cx="635" cy="0"/>
                  <wp:effectExtent l="0" t="0" r="0" b="0"/>
                  <wp:wrapNone/>
                  <wp:docPr id="140" name="Line_33_SpCnt_2"/>
                  <wp:cNvGraphicFramePr/>
                  <a:graphic xmlns:a="http://schemas.openxmlformats.org/drawingml/2006/main">
                    <a:graphicData uri="http://schemas.openxmlformats.org/drawingml/2006/picture">
                      <pic:pic xmlns:pic="http://schemas.openxmlformats.org/drawingml/2006/picture">
                        <pic:nvPicPr>
                          <pic:cNvPr id="140" name="Line_33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692032" behindDoc="0" locked="0" layoutInCell="1" allowOverlap="1">
                  <wp:simplePos x="0" y="0"/>
                  <wp:positionH relativeFrom="column">
                    <wp:posOffset>0</wp:posOffset>
                  </wp:positionH>
                  <wp:positionV relativeFrom="paragraph">
                    <wp:posOffset>0</wp:posOffset>
                  </wp:positionV>
                  <wp:extent cx="635" cy="0"/>
                  <wp:effectExtent l="0" t="0" r="0" b="0"/>
                  <wp:wrapNone/>
                  <wp:docPr id="141" name="Line_44_SpCnt_2"/>
                  <wp:cNvGraphicFramePr/>
                  <a:graphic xmlns:a="http://schemas.openxmlformats.org/drawingml/2006/main">
                    <a:graphicData uri="http://schemas.openxmlformats.org/drawingml/2006/picture">
                      <pic:pic xmlns:pic="http://schemas.openxmlformats.org/drawingml/2006/picture">
                        <pic:nvPicPr>
                          <pic:cNvPr id="141" name="Line_44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693056" behindDoc="0" locked="0" layoutInCell="1" allowOverlap="1">
                  <wp:simplePos x="0" y="0"/>
                  <wp:positionH relativeFrom="column">
                    <wp:posOffset>0</wp:posOffset>
                  </wp:positionH>
                  <wp:positionV relativeFrom="paragraph">
                    <wp:posOffset>0</wp:posOffset>
                  </wp:positionV>
                  <wp:extent cx="635" cy="0"/>
                  <wp:effectExtent l="0" t="0" r="0" b="0"/>
                  <wp:wrapNone/>
                  <wp:docPr id="142" name="Line_31_SpCnt_2"/>
                  <wp:cNvGraphicFramePr/>
                  <a:graphic xmlns:a="http://schemas.openxmlformats.org/drawingml/2006/main">
                    <a:graphicData uri="http://schemas.openxmlformats.org/drawingml/2006/picture">
                      <pic:pic xmlns:pic="http://schemas.openxmlformats.org/drawingml/2006/picture">
                        <pic:nvPicPr>
                          <pic:cNvPr id="142" name="Line_31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694080" behindDoc="0" locked="0" layoutInCell="1" allowOverlap="1">
                  <wp:simplePos x="0" y="0"/>
                  <wp:positionH relativeFrom="column">
                    <wp:posOffset>0</wp:posOffset>
                  </wp:positionH>
                  <wp:positionV relativeFrom="paragraph">
                    <wp:posOffset>0</wp:posOffset>
                  </wp:positionV>
                  <wp:extent cx="635" cy="0"/>
                  <wp:effectExtent l="0" t="0" r="0" b="0"/>
                  <wp:wrapNone/>
                  <wp:docPr id="143" name="Line_40_SpCnt_2"/>
                  <wp:cNvGraphicFramePr/>
                  <a:graphic xmlns:a="http://schemas.openxmlformats.org/drawingml/2006/main">
                    <a:graphicData uri="http://schemas.openxmlformats.org/drawingml/2006/picture">
                      <pic:pic xmlns:pic="http://schemas.openxmlformats.org/drawingml/2006/picture">
                        <pic:nvPicPr>
                          <pic:cNvPr id="143" name="Line_40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695104" behindDoc="0" locked="0" layoutInCell="1" allowOverlap="1">
                  <wp:simplePos x="0" y="0"/>
                  <wp:positionH relativeFrom="column">
                    <wp:posOffset>0</wp:posOffset>
                  </wp:positionH>
                  <wp:positionV relativeFrom="paragraph">
                    <wp:posOffset>0</wp:posOffset>
                  </wp:positionV>
                  <wp:extent cx="635" cy="0"/>
                  <wp:effectExtent l="0" t="0" r="0" b="0"/>
                  <wp:wrapNone/>
                  <wp:docPr id="144" name="Line_29_SpCnt_2"/>
                  <wp:cNvGraphicFramePr/>
                  <a:graphic xmlns:a="http://schemas.openxmlformats.org/drawingml/2006/main">
                    <a:graphicData uri="http://schemas.openxmlformats.org/drawingml/2006/picture">
                      <pic:pic xmlns:pic="http://schemas.openxmlformats.org/drawingml/2006/picture">
                        <pic:nvPicPr>
                          <pic:cNvPr id="144" name="Line_29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696128" behindDoc="0" locked="0" layoutInCell="1" allowOverlap="1">
                  <wp:simplePos x="0" y="0"/>
                  <wp:positionH relativeFrom="column">
                    <wp:posOffset>0</wp:posOffset>
                  </wp:positionH>
                  <wp:positionV relativeFrom="paragraph">
                    <wp:posOffset>0</wp:posOffset>
                  </wp:positionV>
                  <wp:extent cx="635" cy="0"/>
                  <wp:effectExtent l="0" t="0" r="0" b="0"/>
                  <wp:wrapNone/>
                  <wp:docPr id="145" name="Line_41_SpCnt_2"/>
                  <wp:cNvGraphicFramePr/>
                  <a:graphic xmlns:a="http://schemas.openxmlformats.org/drawingml/2006/main">
                    <a:graphicData uri="http://schemas.openxmlformats.org/drawingml/2006/picture">
                      <pic:pic xmlns:pic="http://schemas.openxmlformats.org/drawingml/2006/picture">
                        <pic:nvPicPr>
                          <pic:cNvPr id="145" name="Line_41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697152" behindDoc="0" locked="0" layoutInCell="1" allowOverlap="1">
                  <wp:simplePos x="0" y="0"/>
                  <wp:positionH relativeFrom="column">
                    <wp:posOffset>0</wp:posOffset>
                  </wp:positionH>
                  <wp:positionV relativeFrom="paragraph">
                    <wp:posOffset>0</wp:posOffset>
                  </wp:positionV>
                  <wp:extent cx="635" cy="0"/>
                  <wp:effectExtent l="0" t="0" r="0" b="0"/>
                  <wp:wrapNone/>
                  <wp:docPr id="146" name="Line_27_SpCnt_2"/>
                  <wp:cNvGraphicFramePr/>
                  <a:graphic xmlns:a="http://schemas.openxmlformats.org/drawingml/2006/main">
                    <a:graphicData uri="http://schemas.openxmlformats.org/drawingml/2006/picture">
                      <pic:pic xmlns:pic="http://schemas.openxmlformats.org/drawingml/2006/picture">
                        <pic:nvPicPr>
                          <pic:cNvPr id="146" name="Line_27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698176" behindDoc="0" locked="0" layoutInCell="1" allowOverlap="1">
                  <wp:simplePos x="0" y="0"/>
                  <wp:positionH relativeFrom="column">
                    <wp:posOffset>0</wp:posOffset>
                  </wp:positionH>
                  <wp:positionV relativeFrom="paragraph">
                    <wp:posOffset>0</wp:posOffset>
                  </wp:positionV>
                  <wp:extent cx="635" cy="0"/>
                  <wp:effectExtent l="0" t="0" r="0" b="0"/>
                  <wp:wrapNone/>
                  <wp:docPr id="147" name="Line_17_SpCnt_2"/>
                  <wp:cNvGraphicFramePr/>
                  <a:graphic xmlns:a="http://schemas.openxmlformats.org/drawingml/2006/main">
                    <a:graphicData uri="http://schemas.openxmlformats.org/drawingml/2006/picture">
                      <pic:pic xmlns:pic="http://schemas.openxmlformats.org/drawingml/2006/picture">
                        <pic:nvPicPr>
                          <pic:cNvPr id="147" name="Line_17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699200" behindDoc="0" locked="0" layoutInCell="1" allowOverlap="1">
                  <wp:simplePos x="0" y="0"/>
                  <wp:positionH relativeFrom="column">
                    <wp:posOffset>0</wp:posOffset>
                  </wp:positionH>
                  <wp:positionV relativeFrom="paragraph">
                    <wp:posOffset>0</wp:posOffset>
                  </wp:positionV>
                  <wp:extent cx="635" cy="0"/>
                  <wp:effectExtent l="0" t="0" r="0" b="0"/>
                  <wp:wrapNone/>
                  <wp:docPr id="148" name="Line_25_SpCnt_2"/>
                  <wp:cNvGraphicFramePr/>
                  <a:graphic xmlns:a="http://schemas.openxmlformats.org/drawingml/2006/main">
                    <a:graphicData uri="http://schemas.openxmlformats.org/drawingml/2006/picture">
                      <pic:pic xmlns:pic="http://schemas.openxmlformats.org/drawingml/2006/picture">
                        <pic:nvPicPr>
                          <pic:cNvPr id="148" name="Line_25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00224" behindDoc="0" locked="0" layoutInCell="1" allowOverlap="1">
                  <wp:simplePos x="0" y="0"/>
                  <wp:positionH relativeFrom="column">
                    <wp:posOffset>0</wp:posOffset>
                  </wp:positionH>
                  <wp:positionV relativeFrom="paragraph">
                    <wp:posOffset>0</wp:posOffset>
                  </wp:positionV>
                  <wp:extent cx="635" cy="0"/>
                  <wp:effectExtent l="0" t="0" r="0" b="0"/>
                  <wp:wrapNone/>
                  <wp:docPr id="149" name="Line_37_SpCnt_3"/>
                  <wp:cNvGraphicFramePr/>
                  <a:graphic xmlns:a="http://schemas.openxmlformats.org/drawingml/2006/main">
                    <a:graphicData uri="http://schemas.openxmlformats.org/drawingml/2006/picture">
                      <pic:pic xmlns:pic="http://schemas.openxmlformats.org/drawingml/2006/picture">
                        <pic:nvPicPr>
                          <pic:cNvPr id="149" name="Line_37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01248" behindDoc="0" locked="0" layoutInCell="1" allowOverlap="1">
                  <wp:simplePos x="0" y="0"/>
                  <wp:positionH relativeFrom="column">
                    <wp:posOffset>0</wp:posOffset>
                  </wp:positionH>
                  <wp:positionV relativeFrom="paragraph">
                    <wp:posOffset>0</wp:posOffset>
                  </wp:positionV>
                  <wp:extent cx="635" cy="0"/>
                  <wp:effectExtent l="0" t="0" r="0" b="0"/>
                  <wp:wrapNone/>
                  <wp:docPr id="150" name="Line_23_SpCnt_2"/>
                  <wp:cNvGraphicFramePr/>
                  <a:graphic xmlns:a="http://schemas.openxmlformats.org/drawingml/2006/main">
                    <a:graphicData uri="http://schemas.openxmlformats.org/drawingml/2006/picture">
                      <pic:pic xmlns:pic="http://schemas.openxmlformats.org/drawingml/2006/picture">
                        <pic:nvPicPr>
                          <pic:cNvPr id="150" name="Line_23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02272" behindDoc="0" locked="0" layoutInCell="1" allowOverlap="1">
                  <wp:simplePos x="0" y="0"/>
                  <wp:positionH relativeFrom="column">
                    <wp:posOffset>0</wp:posOffset>
                  </wp:positionH>
                  <wp:positionV relativeFrom="paragraph">
                    <wp:posOffset>0</wp:posOffset>
                  </wp:positionV>
                  <wp:extent cx="635" cy="0"/>
                  <wp:effectExtent l="0" t="0" r="0" b="0"/>
                  <wp:wrapNone/>
                  <wp:docPr id="151" name="Line_33_SpCnt_3"/>
                  <wp:cNvGraphicFramePr/>
                  <a:graphic xmlns:a="http://schemas.openxmlformats.org/drawingml/2006/main">
                    <a:graphicData uri="http://schemas.openxmlformats.org/drawingml/2006/picture">
                      <pic:pic xmlns:pic="http://schemas.openxmlformats.org/drawingml/2006/picture">
                        <pic:nvPicPr>
                          <pic:cNvPr id="151" name="Line_33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03296" behindDoc="0" locked="0" layoutInCell="1" allowOverlap="1">
                  <wp:simplePos x="0" y="0"/>
                  <wp:positionH relativeFrom="column">
                    <wp:posOffset>0</wp:posOffset>
                  </wp:positionH>
                  <wp:positionV relativeFrom="paragraph">
                    <wp:posOffset>0</wp:posOffset>
                  </wp:positionV>
                  <wp:extent cx="635" cy="0"/>
                  <wp:effectExtent l="0" t="0" r="0" b="0"/>
                  <wp:wrapNone/>
                  <wp:docPr id="152" name="Line_21_SpCnt_2"/>
                  <wp:cNvGraphicFramePr/>
                  <a:graphic xmlns:a="http://schemas.openxmlformats.org/drawingml/2006/main">
                    <a:graphicData uri="http://schemas.openxmlformats.org/drawingml/2006/picture">
                      <pic:pic xmlns:pic="http://schemas.openxmlformats.org/drawingml/2006/picture">
                        <pic:nvPicPr>
                          <pic:cNvPr id="152" name="Line_21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04320" behindDoc="0" locked="0" layoutInCell="1" allowOverlap="1">
                  <wp:simplePos x="0" y="0"/>
                  <wp:positionH relativeFrom="column">
                    <wp:posOffset>0</wp:posOffset>
                  </wp:positionH>
                  <wp:positionV relativeFrom="paragraph">
                    <wp:posOffset>0</wp:posOffset>
                  </wp:positionV>
                  <wp:extent cx="635" cy="0"/>
                  <wp:effectExtent l="0" t="0" r="0" b="0"/>
                  <wp:wrapNone/>
                  <wp:docPr id="153" name="Line_34_SpCnt_2"/>
                  <wp:cNvGraphicFramePr/>
                  <a:graphic xmlns:a="http://schemas.openxmlformats.org/drawingml/2006/main">
                    <a:graphicData uri="http://schemas.openxmlformats.org/drawingml/2006/picture">
                      <pic:pic xmlns:pic="http://schemas.openxmlformats.org/drawingml/2006/picture">
                        <pic:nvPicPr>
                          <pic:cNvPr id="153" name="Line_34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05344" behindDoc="0" locked="0" layoutInCell="1" allowOverlap="1">
                  <wp:simplePos x="0" y="0"/>
                  <wp:positionH relativeFrom="column">
                    <wp:posOffset>0</wp:posOffset>
                  </wp:positionH>
                  <wp:positionV relativeFrom="paragraph">
                    <wp:posOffset>0</wp:posOffset>
                  </wp:positionV>
                  <wp:extent cx="635" cy="0"/>
                  <wp:effectExtent l="0" t="0" r="0" b="0"/>
                  <wp:wrapNone/>
                  <wp:docPr id="154" name="Line_19_SpCnt_2"/>
                  <wp:cNvGraphicFramePr/>
                  <a:graphic xmlns:a="http://schemas.openxmlformats.org/drawingml/2006/main">
                    <a:graphicData uri="http://schemas.openxmlformats.org/drawingml/2006/picture">
                      <pic:pic xmlns:pic="http://schemas.openxmlformats.org/drawingml/2006/picture">
                        <pic:nvPicPr>
                          <pic:cNvPr id="154" name="Line_19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06368" behindDoc="0" locked="0" layoutInCell="1" allowOverlap="1">
                  <wp:simplePos x="0" y="0"/>
                  <wp:positionH relativeFrom="column">
                    <wp:posOffset>0</wp:posOffset>
                  </wp:positionH>
                  <wp:positionV relativeFrom="paragraph">
                    <wp:posOffset>0</wp:posOffset>
                  </wp:positionV>
                  <wp:extent cx="635" cy="0"/>
                  <wp:effectExtent l="0" t="0" r="0" b="0"/>
                  <wp:wrapNone/>
                  <wp:docPr id="155" name="Line_15_SpCnt_2"/>
                  <wp:cNvGraphicFramePr/>
                  <a:graphic xmlns:a="http://schemas.openxmlformats.org/drawingml/2006/main">
                    <a:graphicData uri="http://schemas.openxmlformats.org/drawingml/2006/picture">
                      <pic:pic xmlns:pic="http://schemas.openxmlformats.org/drawingml/2006/picture">
                        <pic:nvPicPr>
                          <pic:cNvPr id="155" name="Line_15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07392" behindDoc="0" locked="0" layoutInCell="1" allowOverlap="1">
                  <wp:simplePos x="0" y="0"/>
                  <wp:positionH relativeFrom="column">
                    <wp:posOffset>0</wp:posOffset>
                  </wp:positionH>
                  <wp:positionV relativeFrom="paragraph">
                    <wp:posOffset>0</wp:posOffset>
                  </wp:positionV>
                  <wp:extent cx="635" cy="0"/>
                  <wp:effectExtent l="0" t="0" r="0" b="0"/>
                  <wp:wrapNone/>
                  <wp:docPr id="156" name="Line_17_SpCnt_3"/>
                  <wp:cNvGraphicFramePr/>
                  <a:graphic xmlns:a="http://schemas.openxmlformats.org/drawingml/2006/main">
                    <a:graphicData uri="http://schemas.openxmlformats.org/drawingml/2006/picture">
                      <pic:pic xmlns:pic="http://schemas.openxmlformats.org/drawingml/2006/picture">
                        <pic:nvPicPr>
                          <pic:cNvPr id="156" name="Line_17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08416" behindDoc="0" locked="0" layoutInCell="1" allowOverlap="1">
                  <wp:simplePos x="0" y="0"/>
                  <wp:positionH relativeFrom="column">
                    <wp:posOffset>0</wp:posOffset>
                  </wp:positionH>
                  <wp:positionV relativeFrom="paragraph">
                    <wp:posOffset>0</wp:posOffset>
                  </wp:positionV>
                  <wp:extent cx="635" cy="0"/>
                  <wp:effectExtent l="0" t="0" r="0" b="0"/>
                  <wp:wrapNone/>
                  <wp:docPr id="157" name="Line_31_SpCnt_3"/>
                  <wp:cNvGraphicFramePr/>
                  <a:graphic xmlns:a="http://schemas.openxmlformats.org/drawingml/2006/main">
                    <a:graphicData uri="http://schemas.openxmlformats.org/drawingml/2006/picture">
                      <pic:pic xmlns:pic="http://schemas.openxmlformats.org/drawingml/2006/picture">
                        <pic:nvPicPr>
                          <pic:cNvPr id="157" name="Line_31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09440" behindDoc="0" locked="0" layoutInCell="1" allowOverlap="1">
                  <wp:simplePos x="0" y="0"/>
                  <wp:positionH relativeFrom="column">
                    <wp:posOffset>0</wp:posOffset>
                  </wp:positionH>
                  <wp:positionV relativeFrom="paragraph">
                    <wp:posOffset>0</wp:posOffset>
                  </wp:positionV>
                  <wp:extent cx="635" cy="0"/>
                  <wp:effectExtent l="0" t="0" r="0" b="0"/>
                  <wp:wrapNone/>
                  <wp:docPr id="158" name="Line_15_SpCnt_3"/>
                  <wp:cNvGraphicFramePr/>
                  <a:graphic xmlns:a="http://schemas.openxmlformats.org/drawingml/2006/main">
                    <a:graphicData uri="http://schemas.openxmlformats.org/drawingml/2006/picture">
                      <pic:pic xmlns:pic="http://schemas.openxmlformats.org/drawingml/2006/picture">
                        <pic:nvPicPr>
                          <pic:cNvPr id="158" name="Line_15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10464" behindDoc="0" locked="0" layoutInCell="1" allowOverlap="1">
                  <wp:simplePos x="0" y="0"/>
                  <wp:positionH relativeFrom="column">
                    <wp:posOffset>0</wp:posOffset>
                  </wp:positionH>
                  <wp:positionV relativeFrom="paragraph">
                    <wp:posOffset>0</wp:posOffset>
                  </wp:positionV>
                  <wp:extent cx="635" cy="0"/>
                  <wp:effectExtent l="0" t="0" r="0" b="0"/>
                  <wp:wrapNone/>
                  <wp:docPr id="159" name="Line_17_SpCnt_4"/>
                  <wp:cNvGraphicFramePr/>
                  <a:graphic xmlns:a="http://schemas.openxmlformats.org/drawingml/2006/main">
                    <a:graphicData uri="http://schemas.openxmlformats.org/drawingml/2006/picture">
                      <pic:pic xmlns:pic="http://schemas.openxmlformats.org/drawingml/2006/picture">
                        <pic:nvPicPr>
                          <pic:cNvPr id="159" name="Line_17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11488" behindDoc="0" locked="0" layoutInCell="1" allowOverlap="1">
                  <wp:simplePos x="0" y="0"/>
                  <wp:positionH relativeFrom="column">
                    <wp:posOffset>0</wp:posOffset>
                  </wp:positionH>
                  <wp:positionV relativeFrom="paragraph">
                    <wp:posOffset>0</wp:posOffset>
                  </wp:positionV>
                  <wp:extent cx="635" cy="0"/>
                  <wp:effectExtent l="0" t="0" r="0" b="0"/>
                  <wp:wrapNone/>
                  <wp:docPr id="160" name="Line_29_SpCnt_3"/>
                  <wp:cNvGraphicFramePr/>
                  <a:graphic xmlns:a="http://schemas.openxmlformats.org/drawingml/2006/main">
                    <a:graphicData uri="http://schemas.openxmlformats.org/drawingml/2006/picture">
                      <pic:pic xmlns:pic="http://schemas.openxmlformats.org/drawingml/2006/picture">
                        <pic:nvPicPr>
                          <pic:cNvPr id="160" name="Line_29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11488" behindDoc="0" locked="0" layoutInCell="1" allowOverlap="1">
                  <wp:simplePos x="0" y="0"/>
                  <wp:positionH relativeFrom="column">
                    <wp:posOffset>0</wp:posOffset>
                  </wp:positionH>
                  <wp:positionV relativeFrom="paragraph">
                    <wp:posOffset>0</wp:posOffset>
                  </wp:positionV>
                  <wp:extent cx="635" cy="0"/>
                  <wp:effectExtent l="0" t="0" r="0" b="0"/>
                  <wp:wrapNone/>
                  <wp:docPr id="161" name="Line_28_SpCnt_2"/>
                  <wp:cNvGraphicFramePr/>
                  <a:graphic xmlns:a="http://schemas.openxmlformats.org/drawingml/2006/main">
                    <a:graphicData uri="http://schemas.openxmlformats.org/drawingml/2006/picture">
                      <pic:pic xmlns:pic="http://schemas.openxmlformats.org/drawingml/2006/picture">
                        <pic:nvPicPr>
                          <pic:cNvPr id="161" name="Line_28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12512" behindDoc="0" locked="0" layoutInCell="1" allowOverlap="1">
                  <wp:simplePos x="0" y="0"/>
                  <wp:positionH relativeFrom="column">
                    <wp:posOffset>0</wp:posOffset>
                  </wp:positionH>
                  <wp:positionV relativeFrom="paragraph">
                    <wp:posOffset>0</wp:posOffset>
                  </wp:positionV>
                  <wp:extent cx="635" cy="0"/>
                  <wp:effectExtent l="0" t="0" r="0" b="0"/>
                  <wp:wrapNone/>
                  <wp:docPr id="162" name="Line_69_SpCnt_44"/>
                  <wp:cNvGraphicFramePr/>
                  <a:graphic xmlns:a="http://schemas.openxmlformats.org/drawingml/2006/main">
                    <a:graphicData uri="http://schemas.openxmlformats.org/drawingml/2006/picture">
                      <pic:pic xmlns:pic="http://schemas.openxmlformats.org/drawingml/2006/picture">
                        <pic:nvPicPr>
                          <pic:cNvPr id="162" name="Line_69_SpCnt_4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13536" behindDoc="0" locked="0" layoutInCell="1" allowOverlap="1">
                  <wp:simplePos x="0" y="0"/>
                  <wp:positionH relativeFrom="column">
                    <wp:posOffset>0</wp:posOffset>
                  </wp:positionH>
                  <wp:positionV relativeFrom="paragraph">
                    <wp:posOffset>0</wp:posOffset>
                  </wp:positionV>
                  <wp:extent cx="635" cy="0"/>
                  <wp:effectExtent l="0" t="0" r="0" b="0"/>
                  <wp:wrapNone/>
                  <wp:docPr id="163" name="Line_29_SpCnt_4"/>
                  <wp:cNvGraphicFramePr/>
                  <a:graphic xmlns:a="http://schemas.openxmlformats.org/drawingml/2006/main">
                    <a:graphicData uri="http://schemas.openxmlformats.org/drawingml/2006/picture">
                      <pic:pic xmlns:pic="http://schemas.openxmlformats.org/drawingml/2006/picture">
                        <pic:nvPicPr>
                          <pic:cNvPr id="163" name="Line_29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14560" behindDoc="0" locked="0" layoutInCell="1" allowOverlap="1">
                  <wp:simplePos x="0" y="0"/>
                  <wp:positionH relativeFrom="column">
                    <wp:posOffset>0</wp:posOffset>
                  </wp:positionH>
                  <wp:positionV relativeFrom="paragraph">
                    <wp:posOffset>0</wp:posOffset>
                  </wp:positionV>
                  <wp:extent cx="635" cy="0"/>
                  <wp:effectExtent l="0" t="0" r="0" b="0"/>
                  <wp:wrapNone/>
                  <wp:docPr id="164" name="Line_67_SpCnt_1"/>
                  <wp:cNvGraphicFramePr/>
                  <a:graphic xmlns:a="http://schemas.openxmlformats.org/drawingml/2006/main">
                    <a:graphicData uri="http://schemas.openxmlformats.org/drawingml/2006/picture">
                      <pic:pic xmlns:pic="http://schemas.openxmlformats.org/drawingml/2006/picture">
                        <pic:nvPicPr>
                          <pic:cNvPr id="164" name="Line_67_SpCnt_1"/>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15584" behindDoc="0" locked="0" layoutInCell="1" allowOverlap="1">
                  <wp:simplePos x="0" y="0"/>
                  <wp:positionH relativeFrom="column">
                    <wp:posOffset>0</wp:posOffset>
                  </wp:positionH>
                  <wp:positionV relativeFrom="paragraph">
                    <wp:posOffset>0</wp:posOffset>
                  </wp:positionV>
                  <wp:extent cx="635" cy="0"/>
                  <wp:effectExtent l="0" t="0" r="0" b="0"/>
                  <wp:wrapNone/>
                  <wp:docPr id="165" name="Line_25_SpCnt_3"/>
                  <wp:cNvGraphicFramePr/>
                  <a:graphic xmlns:a="http://schemas.openxmlformats.org/drawingml/2006/main">
                    <a:graphicData uri="http://schemas.openxmlformats.org/drawingml/2006/picture">
                      <pic:pic xmlns:pic="http://schemas.openxmlformats.org/drawingml/2006/picture">
                        <pic:nvPicPr>
                          <pic:cNvPr id="165" name="Line_25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16608" behindDoc="0" locked="0" layoutInCell="1" allowOverlap="1">
                  <wp:simplePos x="0" y="0"/>
                  <wp:positionH relativeFrom="column">
                    <wp:posOffset>0</wp:posOffset>
                  </wp:positionH>
                  <wp:positionV relativeFrom="paragraph">
                    <wp:posOffset>0</wp:posOffset>
                  </wp:positionV>
                  <wp:extent cx="635" cy="0"/>
                  <wp:effectExtent l="0" t="0" r="0" b="0"/>
                  <wp:wrapNone/>
                  <wp:docPr id="166" name="Line_65_SpCnt_1"/>
                  <wp:cNvGraphicFramePr/>
                  <a:graphic xmlns:a="http://schemas.openxmlformats.org/drawingml/2006/main">
                    <a:graphicData uri="http://schemas.openxmlformats.org/drawingml/2006/picture">
                      <pic:pic xmlns:pic="http://schemas.openxmlformats.org/drawingml/2006/picture">
                        <pic:nvPicPr>
                          <pic:cNvPr id="166" name="Line_65_SpCnt_1"/>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17632" behindDoc="0" locked="0" layoutInCell="1" allowOverlap="1">
                  <wp:simplePos x="0" y="0"/>
                  <wp:positionH relativeFrom="column">
                    <wp:posOffset>0</wp:posOffset>
                  </wp:positionH>
                  <wp:positionV relativeFrom="paragraph">
                    <wp:posOffset>0</wp:posOffset>
                  </wp:positionV>
                  <wp:extent cx="635" cy="0"/>
                  <wp:effectExtent l="0" t="0" r="0" b="0"/>
                  <wp:wrapNone/>
                  <wp:docPr id="167" name="Line_20_SpCnt_2"/>
                  <wp:cNvGraphicFramePr/>
                  <a:graphic xmlns:a="http://schemas.openxmlformats.org/drawingml/2006/main">
                    <a:graphicData uri="http://schemas.openxmlformats.org/drawingml/2006/picture">
                      <pic:pic xmlns:pic="http://schemas.openxmlformats.org/drawingml/2006/picture">
                        <pic:nvPicPr>
                          <pic:cNvPr id="167" name="Line_20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18656" behindDoc="0" locked="0" layoutInCell="1" allowOverlap="1">
                  <wp:simplePos x="0" y="0"/>
                  <wp:positionH relativeFrom="column">
                    <wp:posOffset>0</wp:posOffset>
                  </wp:positionH>
                  <wp:positionV relativeFrom="paragraph">
                    <wp:posOffset>0</wp:posOffset>
                  </wp:positionV>
                  <wp:extent cx="635" cy="0"/>
                  <wp:effectExtent l="0" t="0" r="0" b="0"/>
                  <wp:wrapNone/>
                  <wp:docPr id="168" name="Line_63_SpCnt_2"/>
                  <wp:cNvGraphicFramePr/>
                  <a:graphic xmlns:a="http://schemas.openxmlformats.org/drawingml/2006/main">
                    <a:graphicData uri="http://schemas.openxmlformats.org/drawingml/2006/picture">
                      <pic:pic xmlns:pic="http://schemas.openxmlformats.org/drawingml/2006/picture">
                        <pic:nvPicPr>
                          <pic:cNvPr id="168" name="Line_63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19680" behindDoc="0" locked="0" layoutInCell="1" allowOverlap="1">
                  <wp:simplePos x="0" y="0"/>
                  <wp:positionH relativeFrom="column">
                    <wp:posOffset>0</wp:posOffset>
                  </wp:positionH>
                  <wp:positionV relativeFrom="paragraph">
                    <wp:posOffset>0</wp:posOffset>
                  </wp:positionV>
                  <wp:extent cx="635" cy="0"/>
                  <wp:effectExtent l="0" t="0" r="0" b="0"/>
                  <wp:wrapNone/>
                  <wp:docPr id="169" name="Line_21_SpCnt_3"/>
                  <wp:cNvGraphicFramePr/>
                  <a:graphic xmlns:a="http://schemas.openxmlformats.org/drawingml/2006/main">
                    <a:graphicData uri="http://schemas.openxmlformats.org/drawingml/2006/picture">
                      <pic:pic xmlns:pic="http://schemas.openxmlformats.org/drawingml/2006/picture">
                        <pic:nvPicPr>
                          <pic:cNvPr id="169" name="Line_21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20704" behindDoc="0" locked="0" layoutInCell="1" allowOverlap="1">
                  <wp:simplePos x="0" y="0"/>
                  <wp:positionH relativeFrom="column">
                    <wp:posOffset>0</wp:posOffset>
                  </wp:positionH>
                  <wp:positionV relativeFrom="paragraph">
                    <wp:posOffset>0</wp:posOffset>
                  </wp:positionV>
                  <wp:extent cx="635" cy="0"/>
                  <wp:effectExtent l="0" t="0" r="0" b="0"/>
                  <wp:wrapNone/>
                  <wp:docPr id="170" name="Line_22_SpCnt_2"/>
                  <wp:cNvGraphicFramePr/>
                  <a:graphic xmlns:a="http://schemas.openxmlformats.org/drawingml/2006/main">
                    <a:graphicData uri="http://schemas.openxmlformats.org/drawingml/2006/picture">
                      <pic:pic xmlns:pic="http://schemas.openxmlformats.org/drawingml/2006/picture">
                        <pic:nvPicPr>
                          <pic:cNvPr id="170" name="Line_22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21728" behindDoc="0" locked="0" layoutInCell="1" allowOverlap="1">
                  <wp:simplePos x="0" y="0"/>
                  <wp:positionH relativeFrom="column">
                    <wp:posOffset>0</wp:posOffset>
                  </wp:positionH>
                  <wp:positionV relativeFrom="paragraph">
                    <wp:posOffset>0</wp:posOffset>
                  </wp:positionV>
                  <wp:extent cx="635" cy="0"/>
                  <wp:effectExtent l="0" t="0" r="0" b="0"/>
                  <wp:wrapNone/>
                  <wp:docPr id="171" name="Line_39_SpCnt_2"/>
                  <wp:cNvGraphicFramePr/>
                  <a:graphic xmlns:a="http://schemas.openxmlformats.org/drawingml/2006/main">
                    <a:graphicData uri="http://schemas.openxmlformats.org/drawingml/2006/picture">
                      <pic:pic xmlns:pic="http://schemas.openxmlformats.org/drawingml/2006/picture">
                        <pic:nvPicPr>
                          <pic:cNvPr id="171" name="Line_39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22752" behindDoc="0" locked="0" layoutInCell="1" allowOverlap="1">
                  <wp:simplePos x="0" y="0"/>
                  <wp:positionH relativeFrom="column">
                    <wp:posOffset>0</wp:posOffset>
                  </wp:positionH>
                  <wp:positionV relativeFrom="paragraph">
                    <wp:posOffset>0</wp:posOffset>
                  </wp:positionV>
                  <wp:extent cx="635" cy="0"/>
                  <wp:effectExtent l="0" t="0" r="0" b="0"/>
                  <wp:wrapNone/>
                  <wp:docPr id="172" name="Line_59_SpCnt_2"/>
                  <wp:cNvGraphicFramePr/>
                  <a:graphic xmlns:a="http://schemas.openxmlformats.org/drawingml/2006/main">
                    <a:graphicData uri="http://schemas.openxmlformats.org/drawingml/2006/picture">
                      <pic:pic xmlns:pic="http://schemas.openxmlformats.org/drawingml/2006/picture">
                        <pic:nvPicPr>
                          <pic:cNvPr id="172" name="Line_59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23776" behindDoc="0" locked="0" layoutInCell="1" allowOverlap="1">
                  <wp:simplePos x="0" y="0"/>
                  <wp:positionH relativeFrom="column">
                    <wp:posOffset>0</wp:posOffset>
                  </wp:positionH>
                  <wp:positionV relativeFrom="paragraph">
                    <wp:posOffset>0</wp:posOffset>
                  </wp:positionV>
                  <wp:extent cx="635" cy="0"/>
                  <wp:effectExtent l="0" t="0" r="0" b="0"/>
                  <wp:wrapNone/>
                  <wp:docPr id="173" name="Line_15_SpCnt_4"/>
                  <wp:cNvGraphicFramePr/>
                  <a:graphic xmlns:a="http://schemas.openxmlformats.org/drawingml/2006/main">
                    <a:graphicData uri="http://schemas.openxmlformats.org/drawingml/2006/picture">
                      <pic:pic xmlns:pic="http://schemas.openxmlformats.org/drawingml/2006/picture">
                        <pic:nvPicPr>
                          <pic:cNvPr id="173" name="Line_15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24800" behindDoc="0" locked="0" layoutInCell="1" allowOverlap="1">
                  <wp:simplePos x="0" y="0"/>
                  <wp:positionH relativeFrom="column">
                    <wp:posOffset>0</wp:posOffset>
                  </wp:positionH>
                  <wp:positionV relativeFrom="paragraph">
                    <wp:posOffset>0</wp:posOffset>
                  </wp:positionV>
                  <wp:extent cx="635" cy="0"/>
                  <wp:effectExtent l="0" t="0" r="0" b="0"/>
                  <wp:wrapNone/>
                  <wp:docPr id="174" name="Line_56_SpCnt_2"/>
                  <wp:cNvGraphicFramePr/>
                  <a:graphic xmlns:a="http://schemas.openxmlformats.org/drawingml/2006/main">
                    <a:graphicData uri="http://schemas.openxmlformats.org/drawingml/2006/picture">
                      <pic:pic xmlns:pic="http://schemas.openxmlformats.org/drawingml/2006/picture">
                        <pic:nvPicPr>
                          <pic:cNvPr id="174" name="Line_56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25824" behindDoc="0" locked="0" layoutInCell="1" allowOverlap="1">
                  <wp:simplePos x="0" y="0"/>
                  <wp:positionH relativeFrom="column">
                    <wp:posOffset>0</wp:posOffset>
                  </wp:positionH>
                  <wp:positionV relativeFrom="paragraph">
                    <wp:posOffset>0</wp:posOffset>
                  </wp:positionV>
                  <wp:extent cx="635" cy="0"/>
                  <wp:effectExtent l="0" t="0" r="0" b="0"/>
                  <wp:wrapNone/>
                  <wp:docPr id="175" name="Line_65_SpCnt_2"/>
                  <wp:cNvGraphicFramePr/>
                  <a:graphic xmlns:a="http://schemas.openxmlformats.org/drawingml/2006/main">
                    <a:graphicData uri="http://schemas.openxmlformats.org/drawingml/2006/picture">
                      <pic:pic xmlns:pic="http://schemas.openxmlformats.org/drawingml/2006/picture">
                        <pic:nvPicPr>
                          <pic:cNvPr id="175" name="Line_65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26848" behindDoc="0" locked="0" layoutInCell="1" allowOverlap="1">
                  <wp:simplePos x="0" y="0"/>
                  <wp:positionH relativeFrom="column">
                    <wp:posOffset>0</wp:posOffset>
                  </wp:positionH>
                  <wp:positionV relativeFrom="paragraph">
                    <wp:posOffset>0</wp:posOffset>
                  </wp:positionV>
                  <wp:extent cx="635" cy="0"/>
                  <wp:effectExtent l="0" t="0" r="0" b="0"/>
                  <wp:wrapNone/>
                  <wp:docPr id="176" name="Line_68_SpCnt_1"/>
                  <wp:cNvGraphicFramePr/>
                  <a:graphic xmlns:a="http://schemas.openxmlformats.org/drawingml/2006/main">
                    <a:graphicData uri="http://schemas.openxmlformats.org/drawingml/2006/picture">
                      <pic:pic xmlns:pic="http://schemas.openxmlformats.org/drawingml/2006/picture">
                        <pic:nvPicPr>
                          <pic:cNvPr id="176" name="Line_68_SpCnt_1"/>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27872" behindDoc="0" locked="0" layoutInCell="1" allowOverlap="1">
                  <wp:simplePos x="0" y="0"/>
                  <wp:positionH relativeFrom="column">
                    <wp:posOffset>0</wp:posOffset>
                  </wp:positionH>
                  <wp:positionV relativeFrom="paragraph">
                    <wp:posOffset>0</wp:posOffset>
                  </wp:positionV>
                  <wp:extent cx="635" cy="0"/>
                  <wp:effectExtent l="0" t="0" r="0" b="0"/>
                  <wp:wrapNone/>
                  <wp:docPr id="177" name="Line_66_SpCnt_3"/>
                  <wp:cNvGraphicFramePr/>
                  <a:graphic xmlns:a="http://schemas.openxmlformats.org/drawingml/2006/main">
                    <a:graphicData uri="http://schemas.openxmlformats.org/drawingml/2006/picture">
                      <pic:pic xmlns:pic="http://schemas.openxmlformats.org/drawingml/2006/picture">
                        <pic:nvPicPr>
                          <pic:cNvPr id="177" name="Line_66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28896" behindDoc="0" locked="0" layoutInCell="1" allowOverlap="1">
                  <wp:simplePos x="0" y="0"/>
                  <wp:positionH relativeFrom="column">
                    <wp:posOffset>0</wp:posOffset>
                  </wp:positionH>
                  <wp:positionV relativeFrom="paragraph">
                    <wp:posOffset>0</wp:posOffset>
                  </wp:positionV>
                  <wp:extent cx="635" cy="0"/>
                  <wp:effectExtent l="0" t="0" r="0" b="0"/>
                  <wp:wrapNone/>
                  <wp:docPr id="178" name="Line_53_SpCnt_2"/>
                  <wp:cNvGraphicFramePr/>
                  <a:graphic xmlns:a="http://schemas.openxmlformats.org/drawingml/2006/main">
                    <a:graphicData uri="http://schemas.openxmlformats.org/drawingml/2006/picture">
                      <pic:pic xmlns:pic="http://schemas.openxmlformats.org/drawingml/2006/picture">
                        <pic:nvPicPr>
                          <pic:cNvPr id="178" name="Line_53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29920" behindDoc="0" locked="0" layoutInCell="1" allowOverlap="1">
                  <wp:simplePos x="0" y="0"/>
                  <wp:positionH relativeFrom="column">
                    <wp:posOffset>0</wp:posOffset>
                  </wp:positionH>
                  <wp:positionV relativeFrom="paragraph">
                    <wp:posOffset>0</wp:posOffset>
                  </wp:positionV>
                  <wp:extent cx="635" cy="0"/>
                  <wp:effectExtent l="0" t="0" r="0" b="0"/>
                  <wp:wrapNone/>
                  <wp:docPr id="179" name="Line_57_SpCnt_2"/>
                  <wp:cNvGraphicFramePr/>
                  <a:graphic xmlns:a="http://schemas.openxmlformats.org/drawingml/2006/main">
                    <a:graphicData uri="http://schemas.openxmlformats.org/drawingml/2006/picture">
                      <pic:pic xmlns:pic="http://schemas.openxmlformats.org/drawingml/2006/picture">
                        <pic:nvPicPr>
                          <pic:cNvPr id="179" name="Line_57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30944" behindDoc="0" locked="0" layoutInCell="1" allowOverlap="1">
                  <wp:simplePos x="0" y="0"/>
                  <wp:positionH relativeFrom="column">
                    <wp:posOffset>0</wp:posOffset>
                  </wp:positionH>
                  <wp:positionV relativeFrom="paragraph">
                    <wp:posOffset>0</wp:posOffset>
                  </wp:positionV>
                  <wp:extent cx="635" cy="0"/>
                  <wp:effectExtent l="0" t="0" r="0" b="0"/>
                  <wp:wrapNone/>
                  <wp:docPr id="180" name="Line_51_SpCnt_2"/>
                  <wp:cNvGraphicFramePr/>
                  <a:graphic xmlns:a="http://schemas.openxmlformats.org/drawingml/2006/main">
                    <a:graphicData uri="http://schemas.openxmlformats.org/drawingml/2006/picture">
                      <pic:pic xmlns:pic="http://schemas.openxmlformats.org/drawingml/2006/picture">
                        <pic:nvPicPr>
                          <pic:cNvPr id="180" name="Line_51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31968" behindDoc="0" locked="0" layoutInCell="1" allowOverlap="1">
                  <wp:simplePos x="0" y="0"/>
                  <wp:positionH relativeFrom="column">
                    <wp:posOffset>0</wp:posOffset>
                  </wp:positionH>
                  <wp:positionV relativeFrom="paragraph">
                    <wp:posOffset>0</wp:posOffset>
                  </wp:positionV>
                  <wp:extent cx="635" cy="0"/>
                  <wp:effectExtent l="0" t="0" r="0" b="0"/>
                  <wp:wrapNone/>
                  <wp:docPr id="181" name="Line_62_SpCnt_2"/>
                  <wp:cNvGraphicFramePr/>
                  <a:graphic xmlns:a="http://schemas.openxmlformats.org/drawingml/2006/main">
                    <a:graphicData uri="http://schemas.openxmlformats.org/drawingml/2006/picture">
                      <pic:pic xmlns:pic="http://schemas.openxmlformats.org/drawingml/2006/picture">
                        <pic:nvPicPr>
                          <pic:cNvPr id="181" name="Line_62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32992" behindDoc="0" locked="0" layoutInCell="1" allowOverlap="1">
                  <wp:simplePos x="0" y="0"/>
                  <wp:positionH relativeFrom="column">
                    <wp:posOffset>0</wp:posOffset>
                  </wp:positionH>
                  <wp:positionV relativeFrom="paragraph">
                    <wp:posOffset>0</wp:posOffset>
                  </wp:positionV>
                  <wp:extent cx="635" cy="0"/>
                  <wp:effectExtent l="0" t="0" r="0" b="0"/>
                  <wp:wrapNone/>
                  <wp:docPr id="182" name="Line_49_SpCnt_2"/>
                  <wp:cNvGraphicFramePr/>
                  <a:graphic xmlns:a="http://schemas.openxmlformats.org/drawingml/2006/main">
                    <a:graphicData uri="http://schemas.openxmlformats.org/drawingml/2006/picture">
                      <pic:pic xmlns:pic="http://schemas.openxmlformats.org/drawingml/2006/picture">
                        <pic:nvPicPr>
                          <pic:cNvPr id="182" name="Line_49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34016" behindDoc="0" locked="0" layoutInCell="1" allowOverlap="1">
                  <wp:simplePos x="0" y="0"/>
                  <wp:positionH relativeFrom="column">
                    <wp:posOffset>0</wp:posOffset>
                  </wp:positionH>
                  <wp:positionV relativeFrom="paragraph">
                    <wp:posOffset>0</wp:posOffset>
                  </wp:positionV>
                  <wp:extent cx="635" cy="0"/>
                  <wp:effectExtent l="0" t="0" r="0" b="0"/>
                  <wp:wrapNone/>
                  <wp:docPr id="183" name="Line_58_SpCnt_2"/>
                  <wp:cNvGraphicFramePr/>
                  <a:graphic xmlns:a="http://schemas.openxmlformats.org/drawingml/2006/main">
                    <a:graphicData uri="http://schemas.openxmlformats.org/drawingml/2006/picture">
                      <pic:pic xmlns:pic="http://schemas.openxmlformats.org/drawingml/2006/picture">
                        <pic:nvPicPr>
                          <pic:cNvPr id="183" name="Line_58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35040" behindDoc="0" locked="0" layoutInCell="1" allowOverlap="1">
                  <wp:simplePos x="0" y="0"/>
                  <wp:positionH relativeFrom="column">
                    <wp:posOffset>0</wp:posOffset>
                  </wp:positionH>
                  <wp:positionV relativeFrom="paragraph">
                    <wp:posOffset>0</wp:posOffset>
                  </wp:positionV>
                  <wp:extent cx="635" cy="0"/>
                  <wp:effectExtent l="0" t="0" r="0" b="0"/>
                  <wp:wrapNone/>
                  <wp:docPr id="184" name="Line_47_SpCnt_3"/>
                  <wp:cNvGraphicFramePr/>
                  <a:graphic xmlns:a="http://schemas.openxmlformats.org/drawingml/2006/main">
                    <a:graphicData uri="http://schemas.openxmlformats.org/drawingml/2006/picture">
                      <pic:pic xmlns:pic="http://schemas.openxmlformats.org/drawingml/2006/picture">
                        <pic:nvPicPr>
                          <pic:cNvPr id="184" name="Line_47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36064" behindDoc="0" locked="0" layoutInCell="1" allowOverlap="1">
                  <wp:simplePos x="0" y="0"/>
                  <wp:positionH relativeFrom="column">
                    <wp:posOffset>0</wp:posOffset>
                  </wp:positionH>
                  <wp:positionV relativeFrom="paragraph">
                    <wp:posOffset>0</wp:posOffset>
                  </wp:positionV>
                  <wp:extent cx="635" cy="0"/>
                  <wp:effectExtent l="0" t="0" r="0" b="0"/>
                  <wp:wrapNone/>
                  <wp:docPr id="185" name="Line_59_SpCnt_3"/>
                  <wp:cNvGraphicFramePr/>
                  <a:graphic xmlns:a="http://schemas.openxmlformats.org/drawingml/2006/main">
                    <a:graphicData uri="http://schemas.openxmlformats.org/drawingml/2006/picture">
                      <pic:pic xmlns:pic="http://schemas.openxmlformats.org/drawingml/2006/picture">
                        <pic:nvPicPr>
                          <pic:cNvPr id="185" name="Line_59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37088" behindDoc="0" locked="0" layoutInCell="1" allowOverlap="1">
                  <wp:simplePos x="0" y="0"/>
                  <wp:positionH relativeFrom="column">
                    <wp:posOffset>0</wp:posOffset>
                  </wp:positionH>
                  <wp:positionV relativeFrom="paragraph">
                    <wp:posOffset>0</wp:posOffset>
                  </wp:positionV>
                  <wp:extent cx="635" cy="0"/>
                  <wp:effectExtent l="0" t="0" r="0" b="0"/>
                  <wp:wrapNone/>
                  <wp:docPr id="186" name="Line_45_SpCnt_3"/>
                  <wp:cNvGraphicFramePr/>
                  <a:graphic xmlns:a="http://schemas.openxmlformats.org/drawingml/2006/main">
                    <a:graphicData uri="http://schemas.openxmlformats.org/drawingml/2006/picture">
                      <pic:pic xmlns:pic="http://schemas.openxmlformats.org/drawingml/2006/picture">
                        <pic:nvPicPr>
                          <pic:cNvPr id="186" name="Line_45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38112" behindDoc="0" locked="0" layoutInCell="1" allowOverlap="1">
                  <wp:simplePos x="0" y="0"/>
                  <wp:positionH relativeFrom="column">
                    <wp:posOffset>0</wp:posOffset>
                  </wp:positionH>
                  <wp:positionV relativeFrom="paragraph">
                    <wp:posOffset>0</wp:posOffset>
                  </wp:positionV>
                  <wp:extent cx="635" cy="0"/>
                  <wp:effectExtent l="0" t="0" r="0" b="0"/>
                  <wp:wrapNone/>
                  <wp:docPr id="187" name="Line_55_SpCnt_2"/>
                  <wp:cNvGraphicFramePr/>
                  <a:graphic xmlns:a="http://schemas.openxmlformats.org/drawingml/2006/main">
                    <a:graphicData uri="http://schemas.openxmlformats.org/drawingml/2006/picture">
                      <pic:pic xmlns:pic="http://schemas.openxmlformats.org/drawingml/2006/picture">
                        <pic:nvPicPr>
                          <pic:cNvPr id="187" name="Line_55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39136" behindDoc="0" locked="0" layoutInCell="1" allowOverlap="1">
                  <wp:simplePos x="0" y="0"/>
                  <wp:positionH relativeFrom="column">
                    <wp:posOffset>0</wp:posOffset>
                  </wp:positionH>
                  <wp:positionV relativeFrom="paragraph">
                    <wp:posOffset>0</wp:posOffset>
                  </wp:positionV>
                  <wp:extent cx="635" cy="0"/>
                  <wp:effectExtent l="0" t="0" r="0" b="0"/>
                  <wp:wrapNone/>
                  <wp:docPr id="188" name="Line_43_SpCnt_2"/>
                  <wp:cNvGraphicFramePr/>
                  <a:graphic xmlns:a="http://schemas.openxmlformats.org/drawingml/2006/main">
                    <a:graphicData uri="http://schemas.openxmlformats.org/drawingml/2006/picture">
                      <pic:pic xmlns:pic="http://schemas.openxmlformats.org/drawingml/2006/picture">
                        <pic:nvPicPr>
                          <pic:cNvPr id="188" name="Line_43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40160" behindDoc="0" locked="0" layoutInCell="1" allowOverlap="1">
                  <wp:simplePos x="0" y="0"/>
                  <wp:positionH relativeFrom="column">
                    <wp:posOffset>0</wp:posOffset>
                  </wp:positionH>
                  <wp:positionV relativeFrom="paragraph">
                    <wp:posOffset>0</wp:posOffset>
                  </wp:positionV>
                  <wp:extent cx="635" cy="0"/>
                  <wp:effectExtent l="0" t="0" r="0" b="0"/>
                  <wp:wrapNone/>
                  <wp:docPr id="189" name="Line_55_SpCnt_3"/>
                  <wp:cNvGraphicFramePr/>
                  <a:graphic xmlns:a="http://schemas.openxmlformats.org/drawingml/2006/main">
                    <a:graphicData uri="http://schemas.openxmlformats.org/drawingml/2006/picture">
                      <pic:pic xmlns:pic="http://schemas.openxmlformats.org/drawingml/2006/picture">
                        <pic:nvPicPr>
                          <pic:cNvPr id="189" name="Line_55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41184" behindDoc="0" locked="0" layoutInCell="1" allowOverlap="1">
                  <wp:simplePos x="0" y="0"/>
                  <wp:positionH relativeFrom="column">
                    <wp:posOffset>0</wp:posOffset>
                  </wp:positionH>
                  <wp:positionV relativeFrom="paragraph">
                    <wp:posOffset>0</wp:posOffset>
                  </wp:positionV>
                  <wp:extent cx="635" cy="0"/>
                  <wp:effectExtent l="0" t="0" r="0" b="0"/>
                  <wp:wrapNone/>
                  <wp:docPr id="190" name="Line_41_SpCnt_3"/>
                  <wp:cNvGraphicFramePr/>
                  <a:graphic xmlns:a="http://schemas.openxmlformats.org/drawingml/2006/main">
                    <a:graphicData uri="http://schemas.openxmlformats.org/drawingml/2006/picture">
                      <pic:pic xmlns:pic="http://schemas.openxmlformats.org/drawingml/2006/picture">
                        <pic:nvPicPr>
                          <pic:cNvPr id="190" name="Line_41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42208" behindDoc="0" locked="0" layoutInCell="1" allowOverlap="1">
                  <wp:simplePos x="0" y="0"/>
                  <wp:positionH relativeFrom="column">
                    <wp:posOffset>0</wp:posOffset>
                  </wp:positionH>
                  <wp:positionV relativeFrom="paragraph">
                    <wp:posOffset>0</wp:posOffset>
                  </wp:positionV>
                  <wp:extent cx="635" cy="0"/>
                  <wp:effectExtent l="0" t="0" r="0" b="0"/>
                  <wp:wrapNone/>
                  <wp:docPr id="191" name="Line_42_SpCnt_2"/>
                  <wp:cNvGraphicFramePr/>
                  <a:graphic xmlns:a="http://schemas.openxmlformats.org/drawingml/2006/main">
                    <a:graphicData uri="http://schemas.openxmlformats.org/drawingml/2006/picture">
                      <pic:pic xmlns:pic="http://schemas.openxmlformats.org/drawingml/2006/picture">
                        <pic:nvPicPr>
                          <pic:cNvPr id="191" name="Line_42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43232" behindDoc="0" locked="0" layoutInCell="1" allowOverlap="1">
                  <wp:simplePos x="0" y="0"/>
                  <wp:positionH relativeFrom="column">
                    <wp:posOffset>0</wp:posOffset>
                  </wp:positionH>
                  <wp:positionV relativeFrom="paragraph">
                    <wp:posOffset>0</wp:posOffset>
                  </wp:positionV>
                  <wp:extent cx="635" cy="0"/>
                  <wp:effectExtent l="0" t="0" r="0" b="0"/>
                  <wp:wrapNone/>
                  <wp:docPr id="192" name="Line_39_SpCnt_3"/>
                  <wp:cNvGraphicFramePr/>
                  <a:graphic xmlns:a="http://schemas.openxmlformats.org/drawingml/2006/main">
                    <a:graphicData uri="http://schemas.openxmlformats.org/drawingml/2006/picture">
                      <pic:pic xmlns:pic="http://schemas.openxmlformats.org/drawingml/2006/picture">
                        <pic:nvPicPr>
                          <pic:cNvPr id="192" name="Line_39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44256" behindDoc="0" locked="0" layoutInCell="1" allowOverlap="1">
                  <wp:simplePos x="0" y="0"/>
                  <wp:positionH relativeFrom="column">
                    <wp:posOffset>0</wp:posOffset>
                  </wp:positionH>
                  <wp:positionV relativeFrom="paragraph">
                    <wp:posOffset>0</wp:posOffset>
                  </wp:positionV>
                  <wp:extent cx="635" cy="0"/>
                  <wp:effectExtent l="0" t="0" r="0" b="0"/>
                  <wp:wrapNone/>
                  <wp:docPr id="193" name="Line_50_SpCnt_2"/>
                  <wp:cNvGraphicFramePr/>
                  <a:graphic xmlns:a="http://schemas.openxmlformats.org/drawingml/2006/main">
                    <a:graphicData uri="http://schemas.openxmlformats.org/drawingml/2006/picture">
                      <pic:pic xmlns:pic="http://schemas.openxmlformats.org/drawingml/2006/picture">
                        <pic:nvPicPr>
                          <pic:cNvPr id="193" name="Line_50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45280" behindDoc="0" locked="0" layoutInCell="1" allowOverlap="1">
                  <wp:simplePos x="0" y="0"/>
                  <wp:positionH relativeFrom="column">
                    <wp:posOffset>0</wp:posOffset>
                  </wp:positionH>
                  <wp:positionV relativeFrom="paragraph">
                    <wp:posOffset>0</wp:posOffset>
                  </wp:positionV>
                  <wp:extent cx="635" cy="0"/>
                  <wp:effectExtent l="0" t="0" r="0" b="0"/>
                  <wp:wrapNone/>
                  <wp:docPr id="194" name="Line_37_SpCnt_4"/>
                  <wp:cNvGraphicFramePr/>
                  <a:graphic xmlns:a="http://schemas.openxmlformats.org/drawingml/2006/main">
                    <a:graphicData uri="http://schemas.openxmlformats.org/drawingml/2006/picture">
                      <pic:pic xmlns:pic="http://schemas.openxmlformats.org/drawingml/2006/picture">
                        <pic:nvPicPr>
                          <pic:cNvPr id="194" name="Line_37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46304" behindDoc="0" locked="0" layoutInCell="1" allowOverlap="1">
                  <wp:simplePos x="0" y="0"/>
                  <wp:positionH relativeFrom="column">
                    <wp:posOffset>0</wp:posOffset>
                  </wp:positionH>
                  <wp:positionV relativeFrom="paragraph">
                    <wp:posOffset>0</wp:posOffset>
                  </wp:positionV>
                  <wp:extent cx="635" cy="0"/>
                  <wp:effectExtent l="0" t="0" r="0" b="0"/>
                  <wp:wrapNone/>
                  <wp:docPr id="195" name="Line_65_SpCnt_3"/>
                  <wp:cNvGraphicFramePr/>
                  <a:graphic xmlns:a="http://schemas.openxmlformats.org/drawingml/2006/main">
                    <a:graphicData uri="http://schemas.openxmlformats.org/drawingml/2006/picture">
                      <pic:pic xmlns:pic="http://schemas.openxmlformats.org/drawingml/2006/picture">
                        <pic:nvPicPr>
                          <pic:cNvPr id="195" name="Line_65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47328" behindDoc="0" locked="0" layoutInCell="1" allowOverlap="1">
                  <wp:simplePos x="0" y="0"/>
                  <wp:positionH relativeFrom="column">
                    <wp:posOffset>0</wp:posOffset>
                  </wp:positionH>
                  <wp:positionV relativeFrom="paragraph">
                    <wp:posOffset>0</wp:posOffset>
                  </wp:positionV>
                  <wp:extent cx="635" cy="0"/>
                  <wp:effectExtent l="0" t="0" r="0" b="0"/>
                  <wp:wrapNone/>
                  <wp:docPr id="196" name="Line_35_SpCnt_3"/>
                  <wp:cNvGraphicFramePr/>
                  <a:graphic xmlns:a="http://schemas.openxmlformats.org/drawingml/2006/main">
                    <a:graphicData uri="http://schemas.openxmlformats.org/drawingml/2006/picture">
                      <pic:pic xmlns:pic="http://schemas.openxmlformats.org/drawingml/2006/picture">
                        <pic:nvPicPr>
                          <pic:cNvPr id="196" name="Line_35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48352" behindDoc="0" locked="0" layoutInCell="1" allowOverlap="1">
                  <wp:simplePos x="0" y="0"/>
                  <wp:positionH relativeFrom="column">
                    <wp:posOffset>0</wp:posOffset>
                  </wp:positionH>
                  <wp:positionV relativeFrom="paragraph">
                    <wp:posOffset>0</wp:posOffset>
                  </wp:positionV>
                  <wp:extent cx="635" cy="0"/>
                  <wp:effectExtent l="0" t="0" r="0" b="0"/>
                  <wp:wrapNone/>
                  <wp:docPr id="197" name="Line_51_SpCnt_3"/>
                  <wp:cNvGraphicFramePr/>
                  <a:graphic xmlns:a="http://schemas.openxmlformats.org/drawingml/2006/main">
                    <a:graphicData uri="http://schemas.openxmlformats.org/drawingml/2006/picture">
                      <pic:pic xmlns:pic="http://schemas.openxmlformats.org/drawingml/2006/picture">
                        <pic:nvPicPr>
                          <pic:cNvPr id="197" name="Line_51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49376" behindDoc="0" locked="0" layoutInCell="1" allowOverlap="1">
                  <wp:simplePos x="0" y="0"/>
                  <wp:positionH relativeFrom="column">
                    <wp:posOffset>0</wp:posOffset>
                  </wp:positionH>
                  <wp:positionV relativeFrom="paragraph">
                    <wp:posOffset>0</wp:posOffset>
                  </wp:positionV>
                  <wp:extent cx="635" cy="0"/>
                  <wp:effectExtent l="0" t="0" r="0" b="0"/>
                  <wp:wrapNone/>
                  <wp:docPr id="198" name="Line_33_SpCnt_4"/>
                  <wp:cNvGraphicFramePr/>
                  <a:graphic xmlns:a="http://schemas.openxmlformats.org/drawingml/2006/main">
                    <a:graphicData uri="http://schemas.openxmlformats.org/drawingml/2006/picture">
                      <pic:pic xmlns:pic="http://schemas.openxmlformats.org/drawingml/2006/picture">
                        <pic:nvPicPr>
                          <pic:cNvPr id="198" name="Line_33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50400" behindDoc="0" locked="0" layoutInCell="1" allowOverlap="1">
                  <wp:simplePos x="0" y="0"/>
                  <wp:positionH relativeFrom="column">
                    <wp:posOffset>0</wp:posOffset>
                  </wp:positionH>
                  <wp:positionV relativeFrom="paragraph">
                    <wp:posOffset>0</wp:posOffset>
                  </wp:positionV>
                  <wp:extent cx="635" cy="0"/>
                  <wp:effectExtent l="0" t="0" r="0" b="0"/>
                  <wp:wrapNone/>
                  <wp:docPr id="199" name="Line_33_SpCnt_5"/>
                  <wp:cNvGraphicFramePr/>
                  <a:graphic xmlns:a="http://schemas.openxmlformats.org/drawingml/2006/main">
                    <a:graphicData uri="http://schemas.openxmlformats.org/drawingml/2006/picture">
                      <pic:pic xmlns:pic="http://schemas.openxmlformats.org/drawingml/2006/picture">
                        <pic:nvPicPr>
                          <pic:cNvPr id="199" name="Line_33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51424" behindDoc="0" locked="0" layoutInCell="1" allowOverlap="1">
                  <wp:simplePos x="0" y="0"/>
                  <wp:positionH relativeFrom="column">
                    <wp:posOffset>0</wp:posOffset>
                  </wp:positionH>
                  <wp:positionV relativeFrom="paragraph">
                    <wp:posOffset>0</wp:posOffset>
                  </wp:positionV>
                  <wp:extent cx="635" cy="0"/>
                  <wp:effectExtent l="0" t="0" r="0" b="0"/>
                  <wp:wrapNone/>
                  <wp:docPr id="200" name="Line_31_SpCnt_4"/>
                  <wp:cNvGraphicFramePr/>
                  <a:graphic xmlns:a="http://schemas.openxmlformats.org/drawingml/2006/main">
                    <a:graphicData uri="http://schemas.openxmlformats.org/drawingml/2006/picture">
                      <pic:pic xmlns:pic="http://schemas.openxmlformats.org/drawingml/2006/picture">
                        <pic:nvPicPr>
                          <pic:cNvPr id="200" name="Line_31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52448" behindDoc="0" locked="0" layoutInCell="1" allowOverlap="1">
                  <wp:simplePos x="0" y="0"/>
                  <wp:positionH relativeFrom="column">
                    <wp:posOffset>0</wp:posOffset>
                  </wp:positionH>
                  <wp:positionV relativeFrom="paragraph">
                    <wp:posOffset>0</wp:posOffset>
                  </wp:positionV>
                  <wp:extent cx="635" cy="0"/>
                  <wp:effectExtent l="0" t="0" r="0" b="0"/>
                  <wp:wrapNone/>
                  <wp:docPr id="201" name="Line_67_SpCnt_2"/>
                  <wp:cNvGraphicFramePr/>
                  <a:graphic xmlns:a="http://schemas.openxmlformats.org/drawingml/2006/main">
                    <a:graphicData uri="http://schemas.openxmlformats.org/drawingml/2006/picture">
                      <pic:pic xmlns:pic="http://schemas.openxmlformats.org/drawingml/2006/picture">
                        <pic:nvPicPr>
                          <pic:cNvPr id="201" name="Line_67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53472" behindDoc="0" locked="0" layoutInCell="1" allowOverlap="1">
                  <wp:simplePos x="0" y="0"/>
                  <wp:positionH relativeFrom="column">
                    <wp:posOffset>0</wp:posOffset>
                  </wp:positionH>
                  <wp:positionV relativeFrom="paragraph">
                    <wp:posOffset>0</wp:posOffset>
                  </wp:positionV>
                  <wp:extent cx="635" cy="0"/>
                  <wp:effectExtent l="0" t="0" r="0" b="0"/>
                  <wp:wrapNone/>
                  <wp:docPr id="202" name="Line_29_SpCnt_5"/>
                  <wp:cNvGraphicFramePr/>
                  <a:graphic xmlns:a="http://schemas.openxmlformats.org/drawingml/2006/main">
                    <a:graphicData uri="http://schemas.openxmlformats.org/drawingml/2006/picture">
                      <pic:pic xmlns:pic="http://schemas.openxmlformats.org/drawingml/2006/picture">
                        <pic:nvPicPr>
                          <pic:cNvPr id="202" name="Line_29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54496" behindDoc="0" locked="0" layoutInCell="1" allowOverlap="1">
                  <wp:simplePos x="0" y="0"/>
                  <wp:positionH relativeFrom="column">
                    <wp:posOffset>0</wp:posOffset>
                  </wp:positionH>
                  <wp:positionV relativeFrom="paragraph">
                    <wp:posOffset>0</wp:posOffset>
                  </wp:positionV>
                  <wp:extent cx="635" cy="0"/>
                  <wp:effectExtent l="0" t="0" r="0" b="0"/>
                  <wp:wrapNone/>
                  <wp:docPr id="203" name="Line_51_SpCnt_4"/>
                  <wp:cNvGraphicFramePr/>
                  <a:graphic xmlns:a="http://schemas.openxmlformats.org/drawingml/2006/main">
                    <a:graphicData uri="http://schemas.openxmlformats.org/drawingml/2006/picture">
                      <pic:pic xmlns:pic="http://schemas.openxmlformats.org/drawingml/2006/picture">
                        <pic:nvPicPr>
                          <pic:cNvPr id="203" name="Line_51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55520" behindDoc="0" locked="0" layoutInCell="1" allowOverlap="1">
                  <wp:simplePos x="0" y="0"/>
                  <wp:positionH relativeFrom="column">
                    <wp:posOffset>0</wp:posOffset>
                  </wp:positionH>
                  <wp:positionV relativeFrom="paragraph">
                    <wp:posOffset>0</wp:posOffset>
                  </wp:positionV>
                  <wp:extent cx="635" cy="0"/>
                  <wp:effectExtent l="0" t="0" r="0" b="0"/>
                  <wp:wrapNone/>
                  <wp:docPr id="204" name="Line_27_SpCnt_3"/>
                  <wp:cNvGraphicFramePr/>
                  <a:graphic xmlns:a="http://schemas.openxmlformats.org/drawingml/2006/main">
                    <a:graphicData uri="http://schemas.openxmlformats.org/drawingml/2006/picture">
                      <pic:pic xmlns:pic="http://schemas.openxmlformats.org/drawingml/2006/picture">
                        <pic:nvPicPr>
                          <pic:cNvPr id="204" name="Line_27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56544" behindDoc="0" locked="0" layoutInCell="1" allowOverlap="1">
                  <wp:simplePos x="0" y="0"/>
                  <wp:positionH relativeFrom="column">
                    <wp:posOffset>0</wp:posOffset>
                  </wp:positionH>
                  <wp:positionV relativeFrom="paragraph">
                    <wp:posOffset>0</wp:posOffset>
                  </wp:positionV>
                  <wp:extent cx="635" cy="0"/>
                  <wp:effectExtent l="0" t="0" r="0" b="0"/>
                  <wp:wrapNone/>
                  <wp:docPr id="205" name="Line_46_SpCnt_2"/>
                  <wp:cNvGraphicFramePr/>
                  <a:graphic xmlns:a="http://schemas.openxmlformats.org/drawingml/2006/main">
                    <a:graphicData uri="http://schemas.openxmlformats.org/drawingml/2006/picture">
                      <pic:pic xmlns:pic="http://schemas.openxmlformats.org/drawingml/2006/picture">
                        <pic:nvPicPr>
                          <pic:cNvPr id="205" name="Line_46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57568" behindDoc="0" locked="0" layoutInCell="1" allowOverlap="1">
                  <wp:simplePos x="0" y="0"/>
                  <wp:positionH relativeFrom="column">
                    <wp:posOffset>0</wp:posOffset>
                  </wp:positionH>
                  <wp:positionV relativeFrom="paragraph">
                    <wp:posOffset>0</wp:posOffset>
                  </wp:positionV>
                  <wp:extent cx="635" cy="0"/>
                  <wp:effectExtent l="0" t="0" r="0" b="0"/>
                  <wp:wrapNone/>
                  <wp:docPr id="206" name="Line_25_SpCnt_4"/>
                  <wp:cNvGraphicFramePr/>
                  <a:graphic xmlns:a="http://schemas.openxmlformats.org/drawingml/2006/main">
                    <a:graphicData uri="http://schemas.openxmlformats.org/drawingml/2006/picture">
                      <pic:pic xmlns:pic="http://schemas.openxmlformats.org/drawingml/2006/picture">
                        <pic:nvPicPr>
                          <pic:cNvPr id="206" name="Line_25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58592" behindDoc="0" locked="0" layoutInCell="1" allowOverlap="1">
                  <wp:simplePos x="0" y="0"/>
                  <wp:positionH relativeFrom="column">
                    <wp:posOffset>0</wp:posOffset>
                  </wp:positionH>
                  <wp:positionV relativeFrom="paragraph">
                    <wp:posOffset>0</wp:posOffset>
                  </wp:positionV>
                  <wp:extent cx="635" cy="0"/>
                  <wp:effectExtent l="0" t="0" r="0" b="0"/>
                  <wp:wrapNone/>
                  <wp:docPr id="207" name="Line_59_SpCnt_4"/>
                  <wp:cNvGraphicFramePr/>
                  <a:graphic xmlns:a="http://schemas.openxmlformats.org/drawingml/2006/main">
                    <a:graphicData uri="http://schemas.openxmlformats.org/drawingml/2006/picture">
                      <pic:pic xmlns:pic="http://schemas.openxmlformats.org/drawingml/2006/picture">
                        <pic:nvPicPr>
                          <pic:cNvPr id="207" name="Line_59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59616" behindDoc="0" locked="0" layoutInCell="1" allowOverlap="1">
                  <wp:simplePos x="0" y="0"/>
                  <wp:positionH relativeFrom="column">
                    <wp:posOffset>0</wp:posOffset>
                  </wp:positionH>
                  <wp:positionV relativeFrom="paragraph">
                    <wp:posOffset>0</wp:posOffset>
                  </wp:positionV>
                  <wp:extent cx="635" cy="0"/>
                  <wp:effectExtent l="0" t="0" r="0" b="0"/>
                  <wp:wrapNone/>
                  <wp:docPr id="208" name="Line_23_SpCnt_3"/>
                  <wp:cNvGraphicFramePr/>
                  <a:graphic xmlns:a="http://schemas.openxmlformats.org/drawingml/2006/main">
                    <a:graphicData uri="http://schemas.openxmlformats.org/drawingml/2006/picture">
                      <pic:pic xmlns:pic="http://schemas.openxmlformats.org/drawingml/2006/picture">
                        <pic:nvPicPr>
                          <pic:cNvPr id="208" name="Line_23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60640" behindDoc="0" locked="0" layoutInCell="1" allowOverlap="1">
                  <wp:simplePos x="0" y="0"/>
                  <wp:positionH relativeFrom="column">
                    <wp:posOffset>0</wp:posOffset>
                  </wp:positionH>
                  <wp:positionV relativeFrom="paragraph">
                    <wp:posOffset>0</wp:posOffset>
                  </wp:positionV>
                  <wp:extent cx="635" cy="0"/>
                  <wp:effectExtent l="0" t="0" r="0" b="0"/>
                  <wp:wrapNone/>
                  <wp:docPr id="209" name="Line_68_SpCnt_2"/>
                  <wp:cNvGraphicFramePr/>
                  <a:graphic xmlns:a="http://schemas.openxmlformats.org/drawingml/2006/main">
                    <a:graphicData uri="http://schemas.openxmlformats.org/drawingml/2006/picture">
                      <pic:pic xmlns:pic="http://schemas.openxmlformats.org/drawingml/2006/picture">
                        <pic:nvPicPr>
                          <pic:cNvPr id="209" name="Line_68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61664" behindDoc="0" locked="0" layoutInCell="1" allowOverlap="1">
                  <wp:simplePos x="0" y="0"/>
                  <wp:positionH relativeFrom="column">
                    <wp:posOffset>0</wp:posOffset>
                  </wp:positionH>
                  <wp:positionV relativeFrom="paragraph">
                    <wp:posOffset>0</wp:posOffset>
                  </wp:positionV>
                  <wp:extent cx="635" cy="0"/>
                  <wp:effectExtent l="0" t="0" r="0" b="0"/>
                  <wp:wrapNone/>
                  <wp:docPr id="210" name="Line_21_SpCnt_4"/>
                  <wp:cNvGraphicFramePr/>
                  <a:graphic xmlns:a="http://schemas.openxmlformats.org/drawingml/2006/main">
                    <a:graphicData uri="http://schemas.openxmlformats.org/drawingml/2006/picture">
                      <pic:pic xmlns:pic="http://schemas.openxmlformats.org/drawingml/2006/picture">
                        <pic:nvPicPr>
                          <pic:cNvPr id="210" name="Line_21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62688" behindDoc="0" locked="0" layoutInCell="1" allowOverlap="1">
                  <wp:simplePos x="0" y="0"/>
                  <wp:positionH relativeFrom="column">
                    <wp:posOffset>0</wp:posOffset>
                  </wp:positionH>
                  <wp:positionV relativeFrom="paragraph">
                    <wp:posOffset>0</wp:posOffset>
                  </wp:positionV>
                  <wp:extent cx="635" cy="0"/>
                  <wp:effectExtent l="0" t="0" r="0" b="0"/>
                  <wp:wrapNone/>
                  <wp:docPr id="211" name="Line_51_SpCnt_5"/>
                  <wp:cNvGraphicFramePr/>
                  <a:graphic xmlns:a="http://schemas.openxmlformats.org/drawingml/2006/main">
                    <a:graphicData uri="http://schemas.openxmlformats.org/drawingml/2006/picture">
                      <pic:pic xmlns:pic="http://schemas.openxmlformats.org/drawingml/2006/picture">
                        <pic:nvPicPr>
                          <pic:cNvPr id="211" name="Line_51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63712" behindDoc="0" locked="0" layoutInCell="1" allowOverlap="1">
                  <wp:simplePos x="0" y="0"/>
                  <wp:positionH relativeFrom="column">
                    <wp:posOffset>0</wp:posOffset>
                  </wp:positionH>
                  <wp:positionV relativeFrom="paragraph">
                    <wp:posOffset>0</wp:posOffset>
                  </wp:positionV>
                  <wp:extent cx="635" cy="0"/>
                  <wp:effectExtent l="0" t="0" r="0" b="0"/>
                  <wp:wrapNone/>
                  <wp:docPr id="212" name="Line_19_SpCnt_3"/>
                  <wp:cNvGraphicFramePr/>
                  <a:graphic xmlns:a="http://schemas.openxmlformats.org/drawingml/2006/main">
                    <a:graphicData uri="http://schemas.openxmlformats.org/drawingml/2006/picture">
                      <pic:pic xmlns:pic="http://schemas.openxmlformats.org/drawingml/2006/picture">
                        <pic:nvPicPr>
                          <pic:cNvPr id="212" name="Line_19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64736" behindDoc="0" locked="0" layoutInCell="1" allowOverlap="1">
                  <wp:simplePos x="0" y="0"/>
                  <wp:positionH relativeFrom="column">
                    <wp:posOffset>0</wp:posOffset>
                  </wp:positionH>
                  <wp:positionV relativeFrom="paragraph">
                    <wp:posOffset>0</wp:posOffset>
                  </wp:positionV>
                  <wp:extent cx="635" cy="0"/>
                  <wp:effectExtent l="0" t="0" r="0" b="0"/>
                  <wp:wrapNone/>
                  <wp:docPr id="213" name="Line_43_SpCnt_3"/>
                  <wp:cNvGraphicFramePr/>
                  <a:graphic xmlns:a="http://schemas.openxmlformats.org/drawingml/2006/main">
                    <a:graphicData uri="http://schemas.openxmlformats.org/drawingml/2006/picture">
                      <pic:pic xmlns:pic="http://schemas.openxmlformats.org/drawingml/2006/picture">
                        <pic:nvPicPr>
                          <pic:cNvPr id="213" name="Line_43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65760" behindDoc="0" locked="0" layoutInCell="1" allowOverlap="1">
                  <wp:simplePos x="0" y="0"/>
                  <wp:positionH relativeFrom="column">
                    <wp:posOffset>0</wp:posOffset>
                  </wp:positionH>
                  <wp:positionV relativeFrom="paragraph">
                    <wp:posOffset>0</wp:posOffset>
                  </wp:positionV>
                  <wp:extent cx="635" cy="0"/>
                  <wp:effectExtent l="0" t="0" r="0" b="0"/>
                  <wp:wrapNone/>
                  <wp:docPr id="214" name="Line_17_SpCnt_5"/>
                  <wp:cNvGraphicFramePr/>
                  <a:graphic xmlns:a="http://schemas.openxmlformats.org/drawingml/2006/main">
                    <a:graphicData uri="http://schemas.openxmlformats.org/drawingml/2006/picture">
                      <pic:pic xmlns:pic="http://schemas.openxmlformats.org/drawingml/2006/picture">
                        <pic:nvPicPr>
                          <pic:cNvPr id="214" name="Line_17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66784" behindDoc="0" locked="0" layoutInCell="1" allowOverlap="1">
                  <wp:simplePos x="0" y="0"/>
                  <wp:positionH relativeFrom="column">
                    <wp:posOffset>0</wp:posOffset>
                  </wp:positionH>
                  <wp:positionV relativeFrom="paragraph">
                    <wp:posOffset>0</wp:posOffset>
                  </wp:positionV>
                  <wp:extent cx="635" cy="0"/>
                  <wp:effectExtent l="0" t="0" r="0" b="0"/>
                  <wp:wrapNone/>
                  <wp:docPr id="215" name="Line_61_SpCnt_3"/>
                  <wp:cNvGraphicFramePr/>
                  <a:graphic xmlns:a="http://schemas.openxmlformats.org/drawingml/2006/main">
                    <a:graphicData uri="http://schemas.openxmlformats.org/drawingml/2006/picture">
                      <pic:pic xmlns:pic="http://schemas.openxmlformats.org/drawingml/2006/picture">
                        <pic:nvPicPr>
                          <pic:cNvPr id="215" name="Line_61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67808" behindDoc="0" locked="0" layoutInCell="1" allowOverlap="1">
                  <wp:simplePos x="0" y="0"/>
                  <wp:positionH relativeFrom="column">
                    <wp:posOffset>0</wp:posOffset>
                  </wp:positionH>
                  <wp:positionV relativeFrom="paragraph">
                    <wp:posOffset>0</wp:posOffset>
                  </wp:positionV>
                  <wp:extent cx="635" cy="0"/>
                  <wp:effectExtent l="0" t="0" r="0" b="0"/>
                  <wp:wrapNone/>
                  <wp:docPr id="216" name="Line_15_SpCnt_5"/>
                  <wp:cNvGraphicFramePr/>
                  <a:graphic xmlns:a="http://schemas.openxmlformats.org/drawingml/2006/main">
                    <a:graphicData uri="http://schemas.openxmlformats.org/drawingml/2006/picture">
                      <pic:pic xmlns:pic="http://schemas.openxmlformats.org/drawingml/2006/picture">
                        <pic:nvPicPr>
                          <pic:cNvPr id="216" name="Line_15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68832" behindDoc="0" locked="0" layoutInCell="1" allowOverlap="1">
                  <wp:simplePos x="0" y="0"/>
                  <wp:positionH relativeFrom="column">
                    <wp:posOffset>0</wp:posOffset>
                  </wp:positionH>
                  <wp:positionV relativeFrom="paragraph">
                    <wp:posOffset>0</wp:posOffset>
                  </wp:positionV>
                  <wp:extent cx="635" cy="0"/>
                  <wp:effectExtent l="0" t="0" r="0" b="0"/>
                  <wp:wrapNone/>
                  <wp:docPr id="217" name="Line_53_SpCnt_3"/>
                  <wp:cNvGraphicFramePr/>
                  <a:graphic xmlns:a="http://schemas.openxmlformats.org/drawingml/2006/main">
                    <a:graphicData uri="http://schemas.openxmlformats.org/drawingml/2006/picture">
                      <pic:pic xmlns:pic="http://schemas.openxmlformats.org/drawingml/2006/picture">
                        <pic:nvPicPr>
                          <pic:cNvPr id="217" name="Line_53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69856" behindDoc="0" locked="0" layoutInCell="1" allowOverlap="1">
                  <wp:simplePos x="0" y="0"/>
                  <wp:positionH relativeFrom="column">
                    <wp:posOffset>0</wp:posOffset>
                  </wp:positionH>
                  <wp:positionV relativeFrom="paragraph">
                    <wp:posOffset>0</wp:posOffset>
                  </wp:positionV>
                  <wp:extent cx="635" cy="0"/>
                  <wp:effectExtent l="0" t="0" r="0" b="0"/>
                  <wp:wrapNone/>
                  <wp:docPr id="218" name="Line_60_SpCnt_2"/>
                  <wp:cNvGraphicFramePr/>
                  <a:graphic xmlns:a="http://schemas.openxmlformats.org/drawingml/2006/main">
                    <a:graphicData uri="http://schemas.openxmlformats.org/drawingml/2006/picture">
                      <pic:pic xmlns:pic="http://schemas.openxmlformats.org/drawingml/2006/picture">
                        <pic:nvPicPr>
                          <pic:cNvPr id="218" name="Line_60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70880" behindDoc="0" locked="0" layoutInCell="1" allowOverlap="1">
                  <wp:simplePos x="0" y="0"/>
                  <wp:positionH relativeFrom="column">
                    <wp:posOffset>0</wp:posOffset>
                  </wp:positionH>
                  <wp:positionV relativeFrom="paragraph">
                    <wp:posOffset>0</wp:posOffset>
                  </wp:positionV>
                  <wp:extent cx="635" cy="0"/>
                  <wp:effectExtent l="0" t="0" r="0" b="0"/>
                  <wp:wrapNone/>
                  <wp:docPr id="219" name="Line_41_SpCnt_4"/>
                  <wp:cNvGraphicFramePr/>
                  <a:graphic xmlns:a="http://schemas.openxmlformats.org/drawingml/2006/main">
                    <a:graphicData uri="http://schemas.openxmlformats.org/drawingml/2006/picture">
                      <pic:pic xmlns:pic="http://schemas.openxmlformats.org/drawingml/2006/picture">
                        <pic:nvPicPr>
                          <pic:cNvPr id="219" name="Line_41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71904" behindDoc="0" locked="0" layoutInCell="1" allowOverlap="1">
                  <wp:simplePos x="0" y="0"/>
                  <wp:positionH relativeFrom="column">
                    <wp:posOffset>0</wp:posOffset>
                  </wp:positionH>
                  <wp:positionV relativeFrom="paragraph">
                    <wp:posOffset>0</wp:posOffset>
                  </wp:positionV>
                  <wp:extent cx="635" cy="0"/>
                  <wp:effectExtent l="0" t="0" r="0" b="0"/>
                  <wp:wrapNone/>
                  <wp:docPr id="220" name="Line_36_SpCnt_2"/>
                  <wp:cNvGraphicFramePr/>
                  <a:graphic xmlns:a="http://schemas.openxmlformats.org/drawingml/2006/main">
                    <a:graphicData uri="http://schemas.openxmlformats.org/drawingml/2006/picture">
                      <pic:pic xmlns:pic="http://schemas.openxmlformats.org/drawingml/2006/picture">
                        <pic:nvPicPr>
                          <pic:cNvPr id="220" name="Line_36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72928" behindDoc="0" locked="0" layoutInCell="1" allowOverlap="1">
                  <wp:simplePos x="0" y="0"/>
                  <wp:positionH relativeFrom="column">
                    <wp:posOffset>0</wp:posOffset>
                  </wp:positionH>
                  <wp:positionV relativeFrom="paragraph">
                    <wp:posOffset>0</wp:posOffset>
                  </wp:positionV>
                  <wp:extent cx="635" cy="0"/>
                  <wp:effectExtent l="0" t="0" r="0" b="0"/>
                  <wp:wrapNone/>
                  <wp:docPr id="221" name="Line_57_SpCnt_3"/>
                  <wp:cNvGraphicFramePr/>
                  <a:graphic xmlns:a="http://schemas.openxmlformats.org/drawingml/2006/main">
                    <a:graphicData uri="http://schemas.openxmlformats.org/drawingml/2006/picture">
                      <pic:pic xmlns:pic="http://schemas.openxmlformats.org/drawingml/2006/picture">
                        <pic:nvPicPr>
                          <pic:cNvPr id="221" name="Line_57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73952" behindDoc="0" locked="0" layoutInCell="1" allowOverlap="1">
                  <wp:simplePos x="0" y="0"/>
                  <wp:positionH relativeFrom="column">
                    <wp:posOffset>0</wp:posOffset>
                  </wp:positionH>
                  <wp:positionV relativeFrom="paragraph">
                    <wp:posOffset>0</wp:posOffset>
                  </wp:positionV>
                  <wp:extent cx="635" cy="0"/>
                  <wp:effectExtent l="0" t="0" r="0" b="0"/>
                  <wp:wrapNone/>
                  <wp:docPr id="222" name="Line_49_SpCnt_3"/>
                  <wp:cNvGraphicFramePr/>
                  <a:graphic xmlns:a="http://schemas.openxmlformats.org/drawingml/2006/main">
                    <a:graphicData uri="http://schemas.openxmlformats.org/drawingml/2006/picture">
                      <pic:pic xmlns:pic="http://schemas.openxmlformats.org/drawingml/2006/picture">
                        <pic:nvPicPr>
                          <pic:cNvPr id="222" name="Line_49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74976" behindDoc="0" locked="0" layoutInCell="1" allowOverlap="1">
                  <wp:simplePos x="0" y="0"/>
                  <wp:positionH relativeFrom="column">
                    <wp:posOffset>0</wp:posOffset>
                  </wp:positionH>
                  <wp:positionV relativeFrom="paragraph">
                    <wp:posOffset>0</wp:posOffset>
                  </wp:positionV>
                  <wp:extent cx="635" cy="0"/>
                  <wp:effectExtent l="0" t="0" r="0" b="0"/>
                  <wp:wrapNone/>
                  <wp:docPr id="223" name="Line_43_SpCnt_4"/>
                  <wp:cNvGraphicFramePr/>
                  <a:graphic xmlns:a="http://schemas.openxmlformats.org/drawingml/2006/main">
                    <a:graphicData uri="http://schemas.openxmlformats.org/drawingml/2006/picture">
                      <pic:pic xmlns:pic="http://schemas.openxmlformats.org/drawingml/2006/picture">
                        <pic:nvPicPr>
                          <pic:cNvPr id="223" name="Line_43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76000" behindDoc="0" locked="0" layoutInCell="1" allowOverlap="1">
                  <wp:simplePos x="0" y="0"/>
                  <wp:positionH relativeFrom="column">
                    <wp:posOffset>0</wp:posOffset>
                  </wp:positionH>
                  <wp:positionV relativeFrom="paragraph">
                    <wp:posOffset>0</wp:posOffset>
                  </wp:positionV>
                  <wp:extent cx="635" cy="0"/>
                  <wp:effectExtent l="0" t="0" r="0" b="0"/>
                  <wp:wrapNone/>
                  <wp:docPr id="224" name="Line_32_SpCnt_2"/>
                  <wp:cNvGraphicFramePr/>
                  <a:graphic xmlns:a="http://schemas.openxmlformats.org/drawingml/2006/main">
                    <a:graphicData uri="http://schemas.openxmlformats.org/drawingml/2006/picture">
                      <pic:pic xmlns:pic="http://schemas.openxmlformats.org/drawingml/2006/picture">
                        <pic:nvPicPr>
                          <pic:cNvPr id="224" name="Line_32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77024" behindDoc="0" locked="0" layoutInCell="1" allowOverlap="1">
                  <wp:simplePos x="0" y="0"/>
                  <wp:positionH relativeFrom="column">
                    <wp:posOffset>0</wp:posOffset>
                  </wp:positionH>
                  <wp:positionV relativeFrom="paragraph">
                    <wp:posOffset>0</wp:posOffset>
                  </wp:positionV>
                  <wp:extent cx="635" cy="0"/>
                  <wp:effectExtent l="0" t="0" r="0" b="0"/>
                  <wp:wrapNone/>
                  <wp:docPr id="225" name="Line_54_SpCnt_2"/>
                  <wp:cNvGraphicFramePr/>
                  <a:graphic xmlns:a="http://schemas.openxmlformats.org/drawingml/2006/main">
                    <a:graphicData uri="http://schemas.openxmlformats.org/drawingml/2006/picture">
                      <pic:pic xmlns:pic="http://schemas.openxmlformats.org/drawingml/2006/picture">
                        <pic:nvPicPr>
                          <pic:cNvPr id="225" name="Line_54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78048" behindDoc="0" locked="0" layoutInCell="1" allowOverlap="1">
                  <wp:simplePos x="0" y="0"/>
                  <wp:positionH relativeFrom="column">
                    <wp:posOffset>0</wp:posOffset>
                  </wp:positionH>
                  <wp:positionV relativeFrom="paragraph">
                    <wp:posOffset>0</wp:posOffset>
                  </wp:positionV>
                  <wp:extent cx="635" cy="0"/>
                  <wp:effectExtent l="0" t="0" r="0" b="0"/>
                  <wp:wrapNone/>
                  <wp:docPr id="226" name="Line_45_SpCnt_4"/>
                  <wp:cNvGraphicFramePr/>
                  <a:graphic xmlns:a="http://schemas.openxmlformats.org/drawingml/2006/main">
                    <a:graphicData uri="http://schemas.openxmlformats.org/drawingml/2006/picture">
                      <pic:pic xmlns:pic="http://schemas.openxmlformats.org/drawingml/2006/picture">
                        <pic:nvPicPr>
                          <pic:cNvPr id="226" name="Line_45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79072" behindDoc="0" locked="0" layoutInCell="1" allowOverlap="1">
                  <wp:simplePos x="0" y="0"/>
                  <wp:positionH relativeFrom="column">
                    <wp:posOffset>0</wp:posOffset>
                  </wp:positionH>
                  <wp:positionV relativeFrom="paragraph">
                    <wp:posOffset>0</wp:posOffset>
                  </wp:positionV>
                  <wp:extent cx="635" cy="0"/>
                  <wp:effectExtent l="0" t="0" r="0" b="0"/>
                  <wp:wrapNone/>
                  <wp:docPr id="227" name="Line_67_SpCnt_3"/>
                  <wp:cNvGraphicFramePr/>
                  <a:graphic xmlns:a="http://schemas.openxmlformats.org/drawingml/2006/main">
                    <a:graphicData uri="http://schemas.openxmlformats.org/drawingml/2006/picture">
                      <pic:pic xmlns:pic="http://schemas.openxmlformats.org/drawingml/2006/picture">
                        <pic:nvPicPr>
                          <pic:cNvPr id="227" name="Line_67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80096" behindDoc="0" locked="0" layoutInCell="1" allowOverlap="1">
                  <wp:simplePos x="0" y="0"/>
                  <wp:positionH relativeFrom="column">
                    <wp:posOffset>0</wp:posOffset>
                  </wp:positionH>
                  <wp:positionV relativeFrom="paragraph">
                    <wp:posOffset>0</wp:posOffset>
                  </wp:positionV>
                  <wp:extent cx="635" cy="0"/>
                  <wp:effectExtent l="0" t="0" r="0" b="0"/>
                  <wp:wrapNone/>
                  <wp:docPr id="228" name="Line_24_SpCnt_2"/>
                  <wp:cNvGraphicFramePr/>
                  <a:graphic xmlns:a="http://schemas.openxmlformats.org/drawingml/2006/main">
                    <a:graphicData uri="http://schemas.openxmlformats.org/drawingml/2006/picture">
                      <pic:pic xmlns:pic="http://schemas.openxmlformats.org/drawingml/2006/picture">
                        <pic:nvPicPr>
                          <pic:cNvPr id="228" name="Line_24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81120" behindDoc="0" locked="0" layoutInCell="1" allowOverlap="1">
                  <wp:simplePos x="0" y="0"/>
                  <wp:positionH relativeFrom="column">
                    <wp:posOffset>0</wp:posOffset>
                  </wp:positionH>
                  <wp:positionV relativeFrom="paragraph">
                    <wp:posOffset>0</wp:posOffset>
                  </wp:positionV>
                  <wp:extent cx="635" cy="0"/>
                  <wp:effectExtent l="0" t="0" r="0" b="0"/>
                  <wp:wrapNone/>
                  <wp:docPr id="229" name="Line_40_SpCnt_3"/>
                  <wp:cNvGraphicFramePr/>
                  <a:graphic xmlns:a="http://schemas.openxmlformats.org/drawingml/2006/main">
                    <a:graphicData uri="http://schemas.openxmlformats.org/drawingml/2006/picture">
                      <pic:pic xmlns:pic="http://schemas.openxmlformats.org/drawingml/2006/picture">
                        <pic:nvPicPr>
                          <pic:cNvPr id="229" name="Line_40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82144" behindDoc="0" locked="0" layoutInCell="1" allowOverlap="1">
                  <wp:simplePos x="0" y="0"/>
                  <wp:positionH relativeFrom="column">
                    <wp:posOffset>0</wp:posOffset>
                  </wp:positionH>
                  <wp:positionV relativeFrom="paragraph">
                    <wp:posOffset>0</wp:posOffset>
                  </wp:positionV>
                  <wp:extent cx="635" cy="0"/>
                  <wp:effectExtent l="0" t="0" r="0" b="0"/>
                  <wp:wrapNone/>
                  <wp:docPr id="230" name="Line_20_SpCnt_3"/>
                  <wp:cNvGraphicFramePr/>
                  <a:graphic xmlns:a="http://schemas.openxmlformats.org/drawingml/2006/main">
                    <a:graphicData uri="http://schemas.openxmlformats.org/drawingml/2006/picture">
                      <pic:pic xmlns:pic="http://schemas.openxmlformats.org/drawingml/2006/picture">
                        <pic:nvPicPr>
                          <pic:cNvPr id="230" name="Line_20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83168" behindDoc="0" locked="0" layoutInCell="1" allowOverlap="1">
                  <wp:simplePos x="0" y="0"/>
                  <wp:positionH relativeFrom="column">
                    <wp:posOffset>0</wp:posOffset>
                  </wp:positionH>
                  <wp:positionV relativeFrom="paragraph">
                    <wp:posOffset>0</wp:posOffset>
                  </wp:positionV>
                  <wp:extent cx="635" cy="0"/>
                  <wp:effectExtent l="0" t="0" r="0" b="0"/>
                  <wp:wrapNone/>
                  <wp:docPr id="231" name="Line_63_SpCnt_3"/>
                  <wp:cNvGraphicFramePr/>
                  <a:graphic xmlns:a="http://schemas.openxmlformats.org/drawingml/2006/main">
                    <a:graphicData uri="http://schemas.openxmlformats.org/drawingml/2006/picture">
                      <pic:pic xmlns:pic="http://schemas.openxmlformats.org/drawingml/2006/picture">
                        <pic:nvPicPr>
                          <pic:cNvPr id="231" name="Line_63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84192" behindDoc="0" locked="0" layoutInCell="1" allowOverlap="1">
                  <wp:simplePos x="0" y="0"/>
                  <wp:positionH relativeFrom="column">
                    <wp:posOffset>0</wp:posOffset>
                  </wp:positionH>
                  <wp:positionV relativeFrom="paragraph">
                    <wp:posOffset>0</wp:posOffset>
                  </wp:positionV>
                  <wp:extent cx="635" cy="0"/>
                  <wp:effectExtent l="0" t="0" r="0" b="0"/>
                  <wp:wrapNone/>
                  <wp:docPr id="232" name="Line_16_SpCnt_2"/>
                  <wp:cNvGraphicFramePr/>
                  <a:graphic xmlns:a="http://schemas.openxmlformats.org/drawingml/2006/main">
                    <a:graphicData uri="http://schemas.openxmlformats.org/drawingml/2006/picture">
                      <pic:pic xmlns:pic="http://schemas.openxmlformats.org/drawingml/2006/picture">
                        <pic:nvPicPr>
                          <pic:cNvPr id="232" name="Line_16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85216" behindDoc="0" locked="0" layoutInCell="1" allowOverlap="1">
                  <wp:simplePos x="0" y="0"/>
                  <wp:positionH relativeFrom="column">
                    <wp:posOffset>0</wp:posOffset>
                  </wp:positionH>
                  <wp:positionV relativeFrom="paragraph">
                    <wp:posOffset>0</wp:posOffset>
                  </wp:positionV>
                  <wp:extent cx="635" cy="0"/>
                  <wp:effectExtent l="0" t="0" r="0" b="0"/>
                  <wp:wrapNone/>
                  <wp:docPr id="233" name="Line_28_SpCnt_3"/>
                  <wp:cNvGraphicFramePr/>
                  <a:graphic xmlns:a="http://schemas.openxmlformats.org/drawingml/2006/main">
                    <a:graphicData uri="http://schemas.openxmlformats.org/drawingml/2006/picture">
                      <pic:pic xmlns:pic="http://schemas.openxmlformats.org/drawingml/2006/picture">
                        <pic:nvPicPr>
                          <pic:cNvPr id="233" name="Line_28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86240" behindDoc="0" locked="0" layoutInCell="1" allowOverlap="1">
                  <wp:simplePos x="0" y="0"/>
                  <wp:positionH relativeFrom="column">
                    <wp:posOffset>0</wp:posOffset>
                  </wp:positionH>
                  <wp:positionV relativeFrom="paragraph">
                    <wp:posOffset>0</wp:posOffset>
                  </wp:positionV>
                  <wp:extent cx="635" cy="0"/>
                  <wp:effectExtent l="0" t="0" r="0" b="0"/>
                  <wp:wrapNone/>
                  <wp:docPr id="234" name="Line_64_SpCnt_1"/>
                  <wp:cNvGraphicFramePr/>
                  <a:graphic xmlns:a="http://schemas.openxmlformats.org/drawingml/2006/main">
                    <a:graphicData uri="http://schemas.openxmlformats.org/drawingml/2006/picture">
                      <pic:pic xmlns:pic="http://schemas.openxmlformats.org/drawingml/2006/picture">
                        <pic:nvPicPr>
                          <pic:cNvPr id="234" name="Line_64_SpCnt_1"/>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87264" behindDoc="0" locked="0" layoutInCell="1" allowOverlap="1">
                  <wp:simplePos x="0" y="0"/>
                  <wp:positionH relativeFrom="column">
                    <wp:posOffset>0</wp:posOffset>
                  </wp:positionH>
                  <wp:positionV relativeFrom="paragraph">
                    <wp:posOffset>0</wp:posOffset>
                  </wp:positionV>
                  <wp:extent cx="635" cy="0"/>
                  <wp:effectExtent l="0" t="0" r="0" b="0"/>
                  <wp:wrapNone/>
                  <wp:docPr id="235" name="Line_68_SpCnt_3"/>
                  <wp:cNvGraphicFramePr/>
                  <a:graphic xmlns:a="http://schemas.openxmlformats.org/drawingml/2006/main">
                    <a:graphicData uri="http://schemas.openxmlformats.org/drawingml/2006/picture">
                      <pic:pic xmlns:pic="http://schemas.openxmlformats.org/drawingml/2006/picture">
                        <pic:nvPicPr>
                          <pic:cNvPr id="235" name="Line_68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88288" behindDoc="0" locked="0" layoutInCell="1" allowOverlap="1">
                  <wp:simplePos x="0" y="0"/>
                  <wp:positionH relativeFrom="column">
                    <wp:posOffset>0</wp:posOffset>
                  </wp:positionH>
                  <wp:positionV relativeFrom="paragraph">
                    <wp:posOffset>0</wp:posOffset>
                  </wp:positionV>
                  <wp:extent cx="635" cy="0"/>
                  <wp:effectExtent l="0" t="0" r="0" b="0"/>
                  <wp:wrapNone/>
                  <wp:docPr id="236" name="Line_69_SpCnt_45"/>
                  <wp:cNvGraphicFramePr/>
                  <a:graphic xmlns:a="http://schemas.openxmlformats.org/drawingml/2006/main">
                    <a:graphicData uri="http://schemas.openxmlformats.org/drawingml/2006/picture">
                      <pic:pic xmlns:pic="http://schemas.openxmlformats.org/drawingml/2006/picture">
                        <pic:nvPicPr>
                          <pic:cNvPr id="236" name="Line_69_SpCnt_4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89312" behindDoc="0" locked="0" layoutInCell="1" allowOverlap="1">
                  <wp:simplePos x="0" y="0"/>
                  <wp:positionH relativeFrom="column">
                    <wp:posOffset>0</wp:posOffset>
                  </wp:positionH>
                  <wp:positionV relativeFrom="paragraph">
                    <wp:posOffset>0</wp:posOffset>
                  </wp:positionV>
                  <wp:extent cx="635" cy="0"/>
                  <wp:effectExtent l="0" t="0" r="0" b="0"/>
                  <wp:wrapNone/>
                  <wp:docPr id="237" name="Line_60_SpCnt_3"/>
                  <wp:cNvGraphicFramePr/>
                  <a:graphic xmlns:a="http://schemas.openxmlformats.org/drawingml/2006/main">
                    <a:graphicData uri="http://schemas.openxmlformats.org/drawingml/2006/picture">
                      <pic:pic xmlns:pic="http://schemas.openxmlformats.org/drawingml/2006/picture">
                        <pic:nvPicPr>
                          <pic:cNvPr id="237" name="Line_60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90336" behindDoc="0" locked="0" layoutInCell="1" allowOverlap="1">
                  <wp:simplePos x="0" y="0"/>
                  <wp:positionH relativeFrom="column">
                    <wp:posOffset>0</wp:posOffset>
                  </wp:positionH>
                  <wp:positionV relativeFrom="paragraph">
                    <wp:posOffset>0</wp:posOffset>
                  </wp:positionV>
                  <wp:extent cx="635" cy="0"/>
                  <wp:effectExtent l="0" t="0" r="0" b="0"/>
                  <wp:wrapNone/>
                  <wp:docPr id="238" name="Line_63_SpCnt_4"/>
                  <wp:cNvGraphicFramePr/>
                  <a:graphic xmlns:a="http://schemas.openxmlformats.org/drawingml/2006/main">
                    <a:graphicData uri="http://schemas.openxmlformats.org/drawingml/2006/picture">
                      <pic:pic xmlns:pic="http://schemas.openxmlformats.org/drawingml/2006/picture">
                        <pic:nvPicPr>
                          <pic:cNvPr id="238" name="Line_63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91360" behindDoc="0" locked="0" layoutInCell="1" allowOverlap="1">
                  <wp:simplePos x="0" y="0"/>
                  <wp:positionH relativeFrom="column">
                    <wp:posOffset>0</wp:posOffset>
                  </wp:positionH>
                  <wp:positionV relativeFrom="paragraph">
                    <wp:posOffset>0</wp:posOffset>
                  </wp:positionV>
                  <wp:extent cx="635" cy="0"/>
                  <wp:effectExtent l="0" t="0" r="0" b="0"/>
                  <wp:wrapNone/>
                  <wp:docPr id="239" name="Line_56_SpCnt_3"/>
                  <wp:cNvGraphicFramePr/>
                  <a:graphic xmlns:a="http://schemas.openxmlformats.org/drawingml/2006/main">
                    <a:graphicData uri="http://schemas.openxmlformats.org/drawingml/2006/picture">
                      <pic:pic xmlns:pic="http://schemas.openxmlformats.org/drawingml/2006/picture">
                        <pic:nvPicPr>
                          <pic:cNvPr id="239" name="Line_56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92384" behindDoc="0" locked="0" layoutInCell="1" allowOverlap="1">
                  <wp:simplePos x="0" y="0"/>
                  <wp:positionH relativeFrom="column">
                    <wp:posOffset>0</wp:posOffset>
                  </wp:positionH>
                  <wp:positionV relativeFrom="paragraph">
                    <wp:posOffset>0</wp:posOffset>
                  </wp:positionV>
                  <wp:extent cx="635" cy="0"/>
                  <wp:effectExtent l="0" t="0" r="0" b="0"/>
                  <wp:wrapNone/>
                  <wp:docPr id="240" name="Line_62_SpCnt_3"/>
                  <wp:cNvGraphicFramePr/>
                  <a:graphic xmlns:a="http://schemas.openxmlformats.org/drawingml/2006/main">
                    <a:graphicData uri="http://schemas.openxmlformats.org/drawingml/2006/picture">
                      <pic:pic xmlns:pic="http://schemas.openxmlformats.org/drawingml/2006/picture">
                        <pic:nvPicPr>
                          <pic:cNvPr id="240" name="Line_62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93408" behindDoc="0" locked="0" layoutInCell="1" allowOverlap="1">
                  <wp:simplePos x="0" y="0"/>
                  <wp:positionH relativeFrom="column">
                    <wp:posOffset>0</wp:posOffset>
                  </wp:positionH>
                  <wp:positionV relativeFrom="paragraph">
                    <wp:posOffset>0</wp:posOffset>
                  </wp:positionV>
                  <wp:extent cx="635" cy="0"/>
                  <wp:effectExtent l="0" t="0" r="0" b="0"/>
                  <wp:wrapNone/>
                  <wp:docPr id="241" name="Line_52_SpCnt_2"/>
                  <wp:cNvGraphicFramePr/>
                  <a:graphic xmlns:a="http://schemas.openxmlformats.org/drawingml/2006/main">
                    <a:graphicData uri="http://schemas.openxmlformats.org/drawingml/2006/picture">
                      <pic:pic xmlns:pic="http://schemas.openxmlformats.org/drawingml/2006/picture">
                        <pic:nvPicPr>
                          <pic:cNvPr id="241" name="Line_52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94432" behindDoc="0" locked="0" layoutInCell="1" allowOverlap="1">
                  <wp:simplePos x="0" y="0"/>
                  <wp:positionH relativeFrom="column">
                    <wp:posOffset>0</wp:posOffset>
                  </wp:positionH>
                  <wp:positionV relativeFrom="paragraph">
                    <wp:posOffset>0</wp:posOffset>
                  </wp:positionV>
                  <wp:extent cx="635" cy="0"/>
                  <wp:effectExtent l="0" t="0" r="0" b="0"/>
                  <wp:wrapNone/>
                  <wp:docPr id="242" name="Line_46_SpCnt_3"/>
                  <wp:cNvGraphicFramePr/>
                  <a:graphic xmlns:a="http://schemas.openxmlformats.org/drawingml/2006/main">
                    <a:graphicData uri="http://schemas.openxmlformats.org/drawingml/2006/picture">
                      <pic:pic xmlns:pic="http://schemas.openxmlformats.org/drawingml/2006/picture">
                        <pic:nvPicPr>
                          <pic:cNvPr id="242" name="Line_46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95456" behindDoc="0" locked="0" layoutInCell="1" allowOverlap="1">
                  <wp:simplePos x="0" y="0"/>
                  <wp:positionH relativeFrom="column">
                    <wp:posOffset>0</wp:posOffset>
                  </wp:positionH>
                  <wp:positionV relativeFrom="paragraph">
                    <wp:posOffset>0</wp:posOffset>
                  </wp:positionV>
                  <wp:extent cx="635" cy="0"/>
                  <wp:effectExtent l="0" t="0" r="0" b="0"/>
                  <wp:wrapNone/>
                  <wp:docPr id="243" name="Line_48_SpCnt_3"/>
                  <wp:cNvGraphicFramePr/>
                  <a:graphic xmlns:a="http://schemas.openxmlformats.org/drawingml/2006/main">
                    <a:graphicData uri="http://schemas.openxmlformats.org/drawingml/2006/picture">
                      <pic:pic xmlns:pic="http://schemas.openxmlformats.org/drawingml/2006/picture">
                        <pic:nvPicPr>
                          <pic:cNvPr id="243" name="Line_48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96480" behindDoc="0" locked="0" layoutInCell="1" allowOverlap="1">
                  <wp:simplePos x="0" y="0"/>
                  <wp:positionH relativeFrom="column">
                    <wp:posOffset>0</wp:posOffset>
                  </wp:positionH>
                  <wp:positionV relativeFrom="paragraph">
                    <wp:posOffset>0</wp:posOffset>
                  </wp:positionV>
                  <wp:extent cx="635" cy="0"/>
                  <wp:effectExtent l="0" t="0" r="0" b="0"/>
                  <wp:wrapNone/>
                  <wp:docPr id="244" name="Line_55_SpCnt_4"/>
                  <wp:cNvGraphicFramePr/>
                  <a:graphic xmlns:a="http://schemas.openxmlformats.org/drawingml/2006/main">
                    <a:graphicData uri="http://schemas.openxmlformats.org/drawingml/2006/picture">
                      <pic:pic xmlns:pic="http://schemas.openxmlformats.org/drawingml/2006/picture">
                        <pic:nvPicPr>
                          <pic:cNvPr id="244" name="Line_55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97504" behindDoc="0" locked="0" layoutInCell="1" allowOverlap="1">
                  <wp:simplePos x="0" y="0"/>
                  <wp:positionH relativeFrom="column">
                    <wp:posOffset>0</wp:posOffset>
                  </wp:positionH>
                  <wp:positionV relativeFrom="paragraph">
                    <wp:posOffset>0</wp:posOffset>
                  </wp:positionV>
                  <wp:extent cx="635" cy="0"/>
                  <wp:effectExtent l="0" t="0" r="0" b="0"/>
                  <wp:wrapNone/>
                  <wp:docPr id="245" name="Line_44_SpCnt_3"/>
                  <wp:cNvGraphicFramePr/>
                  <a:graphic xmlns:a="http://schemas.openxmlformats.org/drawingml/2006/main">
                    <a:graphicData uri="http://schemas.openxmlformats.org/drawingml/2006/picture">
                      <pic:pic xmlns:pic="http://schemas.openxmlformats.org/drawingml/2006/picture">
                        <pic:nvPicPr>
                          <pic:cNvPr id="245" name="Line_44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98528" behindDoc="0" locked="0" layoutInCell="1" allowOverlap="1">
                  <wp:simplePos x="0" y="0"/>
                  <wp:positionH relativeFrom="column">
                    <wp:posOffset>0</wp:posOffset>
                  </wp:positionH>
                  <wp:positionV relativeFrom="paragraph">
                    <wp:posOffset>0</wp:posOffset>
                  </wp:positionV>
                  <wp:extent cx="635" cy="0"/>
                  <wp:effectExtent l="0" t="0" r="0" b="0"/>
                  <wp:wrapNone/>
                  <wp:docPr id="246" name="Line_50_SpCnt_3"/>
                  <wp:cNvGraphicFramePr/>
                  <a:graphic xmlns:a="http://schemas.openxmlformats.org/drawingml/2006/main">
                    <a:graphicData uri="http://schemas.openxmlformats.org/drawingml/2006/picture">
                      <pic:pic xmlns:pic="http://schemas.openxmlformats.org/drawingml/2006/picture">
                        <pic:nvPicPr>
                          <pic:cNvPr id="246" name="Line_50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99552" behindDoc="0" locked="0" layoutInCell="1" allowOverlap="1">
                  <wp:simplePos x="0" y="0"/>
                  <wp:positionH relativeFrom="column">
                    <wp:posOffset>0</wp:posOffset>
                  </wp:positionH>
                  <wp:positionV relativeFrom="paragraph">
                    <wp:posOffset>0</wp:posOffset>
                  </wp:positionV>
                  <wp:extent cx="635" cy="0"/>
                  <wp:effectExtent l="0" t="0" r="0" b="0"/>
                  <wp:wrapNone/>
                  <wp:docPr id="247" name="Line_40_SpCnt_4"/>
                  <wp:cNvGraphicFramePr/>
                  <a:graphic xmlns:a="http://schemas.openxmlformats.org/drawingml/2006/main">
                    <a:graphicData uri="http://schemas.openxmlformats.org/drawingml/2006/picture">
                      <pic:pic xmlns:pic="http://schemas.openxmlformats.org/drawingml/2006/picture">
                        <pic:nvPicPr>
                          <pic:cNvPr id="247" name="Line_40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00576" behindDoc="0" locked="0" layoutInCell="1" allowOverlap="1">
                  <wp:simplePos x="0" y="0"/>
                  <wp:positionH relativeFrom="column">
                    <wp:posOffset>0</wp:posOffset>
                  </wp:positionH>
                  <wp:positionV relativeFrom="paragraph">
                    <wp:posOffset>0</wp:posOffset>
                  </wp:positionV>
                  <wp:extent cx="635" cy="0"/>
                  <wp:effectExtent l="0" t="0" r="0" b="0"/>
                  <wp:wrapNone/>
                  <wp:docPr id="248" name="Line_49_SpCnt_4"/>
                  <wp:cNvGraphicFramePr/>
                  <a:graphic xmlns:a="http://schemas.openxmlformats.org/drawingml/2006/main">
                    <a:graphicData uri="http://schemas.openxmlformats.org/drawingml/2006/picture">
                      <pic:pic xmlns:pic="http://schemas.openxmlformats.org/drawingml/2006/picture">
                        <pic:nvPicPr>
                          <pic:cNvPr id="248" name="Line_49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01600" behindDoc="0" locked="0" layoutInCell="1" allowOverlap="1">
                  <wp:simplePos x="0" y="0"/>
                  <wp:positionH relativeFrom="column">
                    <wp:posOffset>0</wp:posOffset>
                  </wp:positionH>
                  <wp:positionV relativeFrom="paragraph">
                    <wp:posOffset>0</wp:posOffset>
                  </wp:positionV>
                  <wp:extent cx="635" cy="0"/>
                  <wp:effectExtent l="0" t="0" r="0" b="0"/>
                  <wp:wrapNone/>
                  <wp:docPr id="249" name="Line_36_SpCnt_3"/>
                  <wp:cNvGraphicFramePr/>
                  <a:graphic xmlns:a="http://schemas.openxmlformats.org/drawingml/2006/main">
                    <a:graphicData uri="http://schemas.openxmlformats.org/drawingml/2006/picture">
                      <pic:pic xmlns:pic="http://schemas.openxmlformats.org/drawingml/2006/picture">
                        <pic:nvPicPr>
                          <pic:cNvPr id="249" name="Line_36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02624" behindDoc="0" locked="0" layoutInCell="1" allowOverlap="1">
                  <wp:simplePos x="0" y="0"/>
                  <wp:positionH relativeFrom="column">
                    <wp:posOffset>0</wp:posOffset>
                  </wp:positionH>
                  <wp:positionV relativeFrom="paragraph">
                    <wp:posOffset>0</wp:posOffset>
                  </wp:positionV>
                  <wp:extent cx="635" cy="0"/>
                  <wp:effectExtent l="0" t="0" r="0" b="0"/>
                  <wp:wrapNone/>
                  <wp:docPr id="250" name="Line_19_SpCnt_4"/>
                  <wp:cNvGraphicFramePr/>
                  <a:graphic xmlns:a="http://schemas.openxmlformats.org/drawingml/2006/main">
                    <a:graphicData uri="http://schemas.openxmlformats.org/drawingml/2006/picture">
                      <pic:pic xmlns:pic="http://schemas.openxmlformats.org/drawingml/2006/picture">
                        <pic:nvPicPr>
                          <pic:cNvPr id="250" name="Line_19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03648" behindDoc="0" locked="0" layoutInCell="1" allowOverlap="1">
                  <wp:simplePos x="0" y="0"/>
                  <wp:positionH relativeFrom="column">
                    <wp:posOffset>0</wp:posOffset>
                  </wp:positionH>
                  <wp:positionV relativeFrom="paragraph">
                    <wp:posOffset>0</wp:posOffset>
                  </wp:positionV>
                  <wp:extent cx="635" cy="0"/>
                  <wp:effectExtent l="0" t="0" r="0" b="0"/>
                  <wp:wrapNone/>
                  <wp:docPr id="251" name="Line_32_SpCnt_3"/>
                  <wp:cNvGraphicFramePr/>
                  <a:graphic xmlns:a="http://schemas.openxmlformats.org/drawingml/2006/main">
                    <a:graphicData uri="http://schemas.openxmlformats.org/drawingml/2006/picture">
                      <pic:pic xmlns:pic="http://schemas.openxmlformats.org/drawingml/2006/picture">
                        <pic:nvPicPr>
                          <pic:cNvPr id="251" name="Line_32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04672" behindDoc="0" locked="0" layoutInCell="1" allowOverlap="1">
                  <wp:simplePos x="0" y="0"/>
                  <wp:positionH relativeFrom="column">
                    <wp:posOffset>0</wp:posOffset>
                  </wp:positionH>
                  <wp:positionV relativeFrom="paragraph">
                    <wp:posOffset>0</wp:posOffset>
                  </wp:positionV>
                  <wp:extent cx="635" cy="0"/>
                  <wp:effectExtent l="0" t="0" r="0" b="0"/>
                  <wp:wrapNone/>
                  <wp:docPr id="252" name="Line_42_SpCnt_3"/>
                  <wp:cNvGraphicFramePr/>
                  <a:graphic xmlns:a="http://schemas.openxmlformats.org/drawingml/2006/main">
                    <a:graphicData uri="http://schemas.openxmlformats.org/drawingml/2006/picture">
                      <pic:pic xmlns:pic="http://schemas.openxmlformats.org/drawingml/2006/picture">
                        <pic:nvPicPr>
                          <pic:cNvPr id="252" name="Line_42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05696" behindDoc="0" locked="0" layoutInCell="1" allowOverlap="1">
                  <wp:simplePos x="0" y="0"/>
                  <wp:positionH relativeFrom="column">
                    <wp:posOffset>0</wp:posOffset>
                  </wp:positionH>
                  <wp:positionV relativeFrom="paragraph">
                    <wp:posOffset>0</wp:posOffset>
                  </wp:positionV>
                  <wp:extent cx="635" cy="0"/>
                  <wp:effectExtent l="0" t="0" r="0" b="0"/>
                  <wp:wrapNone/>
                  <wp:docPr id="253" name="Line_28_SpCnt_4"/>
                  <wp:cNvGraphicFramePr/>
                  <a:graphic xmlns:a="http://schemas.openxmlformats.org/drawingml/2006/main">
                    <a:graphicData uri="http://schemas.openxmlformats.org/drawingml/2006/picture">
                      <pic:pic xmlns:pic="http://schemas.openxmlformats.org/drawingml/2006/picture">
                        <pic:nvPicPr>
                          <pic:cNvPr id="253" name="Line_28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06720" behindDoc="0" locked="0" layoutInCell="1" allowOverlap="1">
                  <wp:simplePos x="0" y="0"/>
                  <wp:positionH relativeFrom="column">
                    <wp:posOffset>0</wp:posOffset>
                  </wp:positionH>
                  <wp:positionV relativeFrom="paragraph">
                    <wp:posOffset>0</wp:posOffset>
                  </wp:positionV>
                  <wp:extent cx="635" cy="0"/>
                  <wp:effectExtent l="0" t="0" r="0" b="0"/>
                  <wp:wrapNone/>
                  <wp:docPr id="254" name="Line_36_SpCnt_4"/>
                  <wp:cNvGraphicFramePr/>
                  <a:graphic xmlns:a="http://schemas.openxmlformats.org/drawingml/2006/main">
                    <a:graphicData uri="http://schemas.openxmlformats.org/drawingml/2006/picture">
                      <pic:pic xmlns:pic="http://schemas.openxmlformats.org/drawingml/2006/picture">
                        <pic:nvPicPr>
                          <pic:cNvPr id="254" name="Line_36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07744" behindDoc="0" locked="0" layoutInCell="1" allowOverlap="1">
                  <wp:simplePos x="0" y="0"/>
                  <wp:positionH relativeFrom="column">
                    <wp:posOffset>0</wp:posOffset>
                  </wp:positionH>
                  <wp:positionV relativeFrom="paragraph">
                    <wp:posOffset>0</wp:posOffset>
                  </wp:positionV>
                  <wp:extent cx="635" cy="0"/>
                  <wp:effectExtent l="0" t="0" r="0" b="0"/>
                  <wp:wrapNone/>
                  <wp:docPr id="255" name="Line_24_SpCnt_3"/>
                  <wp:cNvGraphicFramePr/>
                  <a:graphic xmlns:a="http://schemas.openxmlformats.org/drawingml/2006/main">
                    <a:graphicData uri="http://schemas.openxmlformats.org/drawingml/2006/picture">
                      <pic:pic xmlns:pic="http://schemas.openxmlformats.org/drawingml/2006/picture">
                        <pic:nvPicPr>
                          <pic:cNvPr id="255" name="Line_24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08768" behindDoc="0" locked="0" layoutInCell="1" allowOverlap="1">
                  <wp:simplePos x="0" y="0"/>
                  <wp:positionH relativeFrom="column">
                    <wp:posOffset>0</wp:posOffset>
                  </wp:positionH>
                  <wp:positionV relativeFrom="paragraph">
                    <wp:posOffset>0</wp:posOffset>
                  </wp:positionV>
                  <wp:extent cx="635" cy="0"/>
                  <wp:effectExtent l="0" t="0" r="0" b="0"/>
                  <wp:wrapNone/>
                  <wp:docPr id="256" name="Line_35_SpCnt_4"/>
                  <wp:cNvGraphicFramePr/>
                  <a:graphic xmlns:a="http://schemas.openxmlformats.org/drawingml/2006/main">
                    <a:graphicData uri="http://schemas.openxmlformats.org/drawingml/2006/picture">
                      <pic:pic xmlns:pic="http://schemas.openxmlformats.org/drawingml/2006/picture">
                        <pic:nvPicPr>
                          <pic:cNvPr id="256" name="Line_35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09792" behindDoc="0" locked="0" layoutInCell="1" allowOverlap="1">
                  <wp:simplePos x="0" y="0"/>
                  <wp:positionH relativeFrom="column">
                    <wp:posOffset>0</wp:posOffset>
                  </wp:positionH>
                  <wp:positionV relativeFrom="paragraph">
                    <wp:posOffset>0</wp:posOffset>
                  </wp:positionV>
                  <wp:extent cx="635" cy="0"/>
                  <wp:effectExtent l="0" t="0" r="0" b="0"/>
                  <wp:wrapNone/>
                  <wp:docPr id="257" name="Line_20_SpCnt_4"/>
                  <wp:cNvGraphicFramePr/>
                  <a:graphic xmlns:a="http://schemas.openxmlformats.org/drawingml/2006/main">
                    <a:graphicData uri="http://schemas.openxmlformats.org/drawingml/2006/picture">
                      <pic:pic xmlns:pic="http://schemas.openxmlformats.org/drawingml/2006/picture">
                        <pic:nvPicPr>
                          <pic:cNvPr id="257" name="Line_20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10816" behindDoc="0" locked="0" layoutInCell="1" allowOverlap="1">
                  <wp:simplePos x="0" y="0"/>
                  <wp:positionH relativeFrom="column">
                    <wp:posOffset>0</wp:posOffset>
                  </wp:positionH>
                  <wp:positionV relativeFrom="paragraph">
                    <wp:posOffset>0</wp:posOffset>
                  </wp:positionV>
                  <wp:extent cx="635" cy="0"/>
                  <wp:effectExtent l="0" t="0" r="0" b="0"/>
                  <wp:wrapNone/>
                  <wp:docPr id="258" name="Line_39_SpCnt_4"/>
                  <wp:cNvGraphicFramePr/>
                  <a:graphic xmlns:a="http://schemas.openxmlformats.org/drawingml/2006/main">
                    <a:graphicData uri="http://schemas.openxmlformats.org/drawingml/2006/picture">
                      <pic:pic xmlns:pic="http://schemas.openxmlformats.org/drawingml/2006/picture">
                        <pic:nvPicPr>
                          <pic:cNvPr id="258" name="Line_39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11840" behindDoc="0" locked="0" layoutInCell="1" allowOverlap="1">
                  <wp:simplePos x="0" y="0"/>
                  <wp:positionH relativeFrom="column">
                    <wp:posOffset>0</wp:posOffset>
                  </wp:positionH>
                  <wp:positionV relativeFrom="paragraph">
                    <wp:posOffset>0</wp:posOffset>
                  </wp:positionV>
                  <wp:extent cx="635" cy="0"/>
                  <wp:effectExtent l="0" t="0" r="0" b="0"/>
                  <wp:wrapNone/>
                  <wp:docPr id="259" name="Line_16_SpCnt_3"/>
                  <wp:cNvGraphicFramePr/>
                  <a:graphic xmlns:a="http://schemas.openxmlformats.org/drawingml/2006/main">
                    <a:graphicData uri="http://schemas.openxmlformats.org/drawingml/2006/picture">
                      <pic:pic xmlns:pic="http://schemas.openxmlformats.org/drawingml/2006/picture">
                        <pic:nvPicPr>
                          <pic:cNvPr id="259" name="Line_16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12864" behindDoc="0" locked="0" layoutInCell="1" allowOverlap="1">
                  <wp:simplePos x="0" y="0"/>
                  <wp:positionH relativeFrom="column">
                    <wp:posOffset>0</wp:posOffset>
                  </wp:positionH>
                  <wp:positionV relativeFrom="paragraph">
                    <wp:posOffset>0</wp:posOffset>
                  </wp:positionV>
                  <wp:extent cx="635" cy="0"/>
                  <wp:effectExtent l="0" t="0" r="0" b="0"/>
                  <wp:wrapNone/>
                  <wp:docPr id="260" name="Line_18_SpCnt_2"/>
                  <wp:cNvGraphicFramePr/>
                  <a:graphic xmlns:a="http://schemas.openxmlformats.org/drawingml/2006/main">
                    <a:graphicData uri="http://schemas.openxmlformats.org/drawingml/2006/picture">
                      <pic:pic xmlns:pic="http://schemas.openxmlformats.org/drawingml/2006/picture">
                        <pic:nvPicPr>
                          <pic:cNvPr id="260" name="Line_18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13888" behindDoc="0" locked="0" layoutInCell="1" allowOverlap="1">
                  <wp:simplePos x="0" y="0"/>
                  <wp:positionH relativeFrom="column">
                    <wp:posOffset>0</wp:posOffset>
                  </wp:positionH>
                  <wp:positionV relativeFrom="paragraph">
                    <wp:posOffset>0</wp:posOffset>
                  </wp:positionV>
                  <wp:extent cx="635" cy="0"/>
                  <wp:effectExtent l="0" t="0" r="0" b="0"/>
                  <wp:wrapNone/>
                  <wp:docPr id="261" name="Line_69_SpCnt_46"/>
                  <wp:cNvGraphicFramePr/>
                  <a:graphic xmlns:a="http://schemas.openxmlformats.org/drawingml/2006/main">
                    <a:graphicData uri="http://schemas.openxmlformats.org/drawingml/2006/picture">
                      <pic:pic xmlns:pic="http://schemas.openxmlformats.org/drawingml/2006/picture">
                        <pic:nvPicPr>
                          <pic:cNvPr id="261" name="Line_69_SpCnt_46"/>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14912" behindDoc="0" locked="0" layoutInCell="1" allowOverlap="1">
                  <wp:simplePos x="0" y="0"/>
                  <wp:positionH relativeFrom="column">
                    <wp:posOffset>0</wp:posOffset>
                  </wp:positionH>
                  <wp:positionV relativeFrom="paragraph">
                    <wp:posOffset>0</wp:posOffset>
                  </wp:positionV>
                  <wp:extent cx="635" cy="0"/>
                  <wp:effectExtent l="0" t="0" r="0" b="0"/>
                  <wp:wrapNone/>
                  <wp:docPr id="262" name="Line_19_SpCnt_5"/>
                  <wp:cNvGraphicFramePr/>
                  <a:graphic xmlns:a="http://schemas.openxmlformats.org/drawingml/2006/main">
                    <a:graphicData uri="http://schemas.openxmlformats.org/drawingml/2006/picture">
                      <pic:pic xmlns:pic="http://schemas.openxmlformats.org/drawingml/2006/picture">
                        <pic:nvPicPr>
                          <pic:cNvPr id="262" name="Line_19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15936" behindDoc="0" locked="0" layoutInCell="1" allowOverlap="1">
                  <wp:simplePos x="0" y="0"/>
                  <wp:positionH relativeFrom="column">
                    <wp:posOffset>0</wp:posOffset>
                  </wp:positionH>
                  <wp:positionV relativeFrom="paragraph">
                    <wp:posOffset>0</wp:posOffset>
                  </wp:positionV>
                  <wp:extent cx="635" cy="0"/>
                  <wp:effectExtent l="0" t="0" r="0" b="0"/>
                  <wp:wrapNone/>
                  <wp:docPr id="263" name="Line_66_SpCnt_4"/>
                  <wp:cNvGraphicFramePr/>
                  <a:graphic xmlns:a="http://schemas.openxmlformats.org/drawingml/2006/main">
                    <a:graphicData uri="http://schemas.openxmlformats.org/drawingml/2006/picture">
                      <pic:pic xmlns:pic="http://schemas.openxmlformats.org/drawingml/2006/picture">
                        <pic:nvPicPr>
                          <pic:cNvPr id="263" name="Line_66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16960" behindDoc="0" locked="0" layoutInCell="1" allowOverlap="1">
                  <wp:simplePos x="0" y="0"/>
                  <wp:positionH relativeFrom="column">
                    <wp:posOffset>0</wp:posOffset>
                  </wp:positionH>
                  <wp:positionV relativeFrom="paragraph">
                    <wp:posOffset>0</wp:posOffset>
                  </wp:positionV>
                  <wp:extent cx="635" cy="0"/>
                  <wp:effectExtent l="0" t="0" r="0" b="0"/>
                  <wp:wrapNone/>
                  <wp:docPr id="264" name="Line_24_SpCnt_4"/>
                  <wp:cNvGraphicFramePr/>
                  <a:graphic xmlns:a="http://schemas.openxmlformats.org/drawingml/2006/main">
                    <a:graphicData uri="http://schemas.openxmlformats.org/drawingml/2006/picture">
                      <pic:pic xmlns:pic="http://schemas.openxmlformats.org/drawingml/2006/picture">
                        <pic:nvPicPr>
                          <pic:cNvPr id="264" name="Line_24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17984" behindDoc="0" locked="0" layoutInCell="1" allowOverlap="1">
                  <wp:simplePos x="0" y="0"/>
                  <wp:positionH relativeFrom="column">
                    <wp:posOffset>0</wp:posOffset>
                  </wp:positionH>
                  <wp:positionV relativeFrom="paragraph">
                    <wp:posOffset>0</wp:posOffset>
                  </wp:positionV>
                  <wp:extent cx="635" cy="0"/>
                  <wp:effectExtent l="0" t="0" r="0" b="0"/>
                  <wp:wrapNone/>
                  <wp:docPr id="265" name="Line_23_SpCnt_4"/>
                  <wp:cNvGraphicFramePr/>
                  <a:graphic xmlns:a="http://schemas.openxmlformats.org/drawingml/2006/main">
                    <a:graphicData uri="http://schemas.openxmlformats.org/drawingml/2006/picture">
                      <pic:pic xmlns:pic="http://schemas.openxmlformats.org/drawingml/2006/picture">
                        <pic:nvPicPr>
                          <pic:cNvPr id="265" name="Line_23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19008" behindDoc="0" locked="0" layoutInCell="1" allowOverlap="1">
                  <wp:simplePos x="0" y="0"/>
                  <wp:positionH relativeFrom="column">
                    <wp:posOffset>0</wp:posOffset>
                  </wp:positionH>
                  <wp:positionV relativeFrom="paragraph">
                    <wp:posOffset>0</wp:posOffset>
                  </wp:positionV>
                  <wp:extent cx="635" cy="0"/>
                  <wp:effectExtent l="0" t="0" r="0" b="0"/>
                  <wp:wrapNone/>
                  <wp:docPr id="266" name="Line_59_SpCnt_5"/>
                  <wp:cNvGraphicFramePr/>
                  <a:graphic xmlns:a="http://schemas.openxmlformats.org/drawingml/2006/main">
                    <a:graphicData uri="http://schemas.openxmlformats.org/drawingml/2006/picture">
                      <pic:pic xmlns:pic="http://schemas.openxmlformats.org/drawingml/2006/picture">
                        <pic:nvPicPr>
                          <pic:cNvPr id="266" name="Line_59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20032" behindDoc="0" locked="0" layoutInCell="1" allowOverlap="1">
                  <wp:simplePos x="0" y="0"/>
                  <wp:positionH relativeFrom="column">
                    <wp:posOffset>0</wp:posOffset>
                  </wp:positionH>
                  <wp:positionV relativeFrom="paragraph">
                    <wp:posOffset>0</wp:posOffset>
                  </wp:positionV>
                  <wp:extent cx="635" cy="0"/>
                  <wp:effectExtent l="0" t="0" r="0" b="0"/>
                  <wp:wrapNone/>
                  <wp:docPr id="267" name="Line_58_SpCnt_3"/>
                  <wp:cNvGraphicFramePr/>
                  <a:graphic xmlns:a="http://schemas.openxmlformats.org/drawingml/2006/main">
                    <a:graphicData uri="http://schemas.openxmlformats.org/drawingml/2006/picture">
                      <pic:pic xmlns:pic="http://schemas.openxmlformats.org/drawingml/2006/picture">
                        <pic:nvPicPr>
                          <pic:cNvPr id="267" name="Line_58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21056" behindDoc="0" locked="0" layoutInCell="1" allowOverlap="1">
                  <wp:simplePos x="0" y="0"/>
                  <wp:positionH relativeFrom="column">
                    <wp:posOffset>0</wp:posOffset>
                  </wp:positionH>
                  <wp:positionV relativeFrom="paragraph">
                    <wp:posOffset>0</wp:posOffset>
                  </wp:positionV>
                  <wp:extent cx="635" cy="0"/>
                  <wp:effectExtent l="0" t="0" r="0" b="0"/>
                  <wp:wrapNone/>
                  <wp:docPr id="268" name="Line_67_SpCnt_4"/>
                  <wp:cNvGraphicFramePr/>
                  <a:graphic xmlns:a="http://schemas.openxmlformats.org/drawingml/2006/main">
                    <a:graphicData uri="http://schemas.openxmlformats.org/drawingml/2006/picture">
                      <pic:pic xmlns:pic="http://schemas.openxmlformats.org/drawingml/2006/picture">
                        <pic:nvPicPr>
                          <pic:cNvPr id="268" name="Line_67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22080" behindDoc="0" locked="0" layoutInCell="1" allowOverlap="1">
                  <wp:simplePos x="0" y="0"/>
                  <wp:positionH relativeFrom="column">
                    <wp:posOffset>0</wp:posOffset>
                  </wp:positionH>
                  <wp:positionV relativeFrom="paragraph">
                    <wp:posOffset>0</wp:posOffset>
                  </wp:positionV>
                  <wp:extent cx="635" cy="0"/>
                  <wp:effectExtent l="0" t="0" r="0" b="0"/>
                  <wp:wrapNone/>
                  <wp:docPr id="269" name="Line_54_SpCnt_3"/>
                  <wp:cNvGraphicFramePr/>
                  <a:graphic xmlns:a="http://schemas.openxmlformats.org/drawingml/2006/main">
                    <a:graphicData uri="http://schemas.openxmlformats.org/drawingml/2006/picture">
                      <pic:pic xmlns:pic="http://schemas.openxmlformats.org/drawingml/2006/picture">
                        <pic:nvPicPr>
                          <pic:cNvPr id="269" name="Line_54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23104" behindDoc="0" locked="0" layoutInCell="1" allowOverlap="1">
                  <wp:simplePos x="0" y="0"/>
                  <wp:positionH relativeFrom="column">
                    <wp:posOffset>0</wp:posOffset>
                  </wp:positionH>
                  <wp:positionV relativeFrom="paragraph">
                    <wp:posOffset>0</wp:posOffset>
                  </wp:positionV>
                  <wp:extent cx="635" cy="0"/>
                  <wp:effectExtent l="0" t="0" r="0" b="0"/>
                  <wp:wrapNone/>
                  <wp:docPr id="270" name="Line_61_SpCnt_4"/>
                  <wp:cNvGraphicFramePr/>
                  <a:graphic xmlns:a="http://schemas.openxmlformats.org/drawingml/2006/main">
                    <a:graphicData uri="http://schemas.openxmlformats.org/drawingml/2006/picture">
                      <pic:pic xmlns:pic="http://schemas.openxmlformats.org/drawingml/2006/picture">
                        <pic:nvPicPr>
                          <pic:cNvPr id="270" name="Line_61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24128" behindDoc="0" locked="0" layoutInCell="1" allowOverlap="1">
                  <wp:simplePos x="0" y="0"/>
                  <wp:positionH relativeFrom="column">
                    <wp:posOffset>0</wp:posOffset>
                  </wp:positionH>
                  <wp:positionV relativeFrom="paragraph">
                    <wp:posOffset>0</wp:posOffset>
                  </wp:positionV>
                  <wp:extent cx="635" cy="0"/>
                  <wp:effectExtent l="0" t="0" r="0" b="0"/>
                  <wp:wrapNone/>
                  <wp:docPr id="271" name="Line_50_SpCnt_4"/>
                  <wp:cNvGraphicFramePr/>
                  <a:graphic xmlns:a="http://schemas.openxmlformats.org/drawingml/2006/main">
                    <a:graphicData uri="http://schemas.openxmlformats.org/drawingml/2006/picture">
                      <pic:pic xmlns:pic="http://schemas.openxmlformats.org/drawingml/2006/picture">
                        <pic:nvPicPr>
                          <pic:cNvPr id="271" name="Line_50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25152" behindDoc="0" locked="0" layoutInCell="1" allowOverlap="1">
                  <wp:simplePos x="0" y="0"/>
                  <wp:positionH relativeFrom="column">
                    <wp:posOffset>0</wp:posOffset>
                  </wp:positionH>
                  <wp:positionV relativeFrom="paragraph">
                    <wp:posOffset>0</wp:posOffset>
                  </wp:positionV>
                  <wp:extent cx="635" cy="0"/>
                  <wp:effectExtent l="0" t="0" r="0" b="0"/>
                  <wp:wrapNone/>
                  <wp:docPr id="272" name="Line_60_SpCnt_4"/>
                  <wp:cNvGraphicFramePr/>
                  <a:graphic xmlns:a="http://schemas.openxmlformats.org/drawingml/2006/main">
                    <a:graphicData uri="http://schemas.openxmlformats.org/drawingml/2006/picture">
                      <pic:pic xmlns:pic="http://schemas.openxmlformats.org/drawingml/2006/picture">
                        <pic:nvPicPr>
                          <pic:cNvPr id="272" name="Line_60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26176" behindDoc="0" locked="0" layoutInCell="1" allowOverlap="1">
                  <wp:simplePos x="0" y="0"/>
                  <wp:positionH relativeFrom="column">
                    <wp:posOffset>0</wp:posOffset>
                  </wp:positionH>
                  <wp:positionV relativeFrom="paragraph">
                    <wp:posOffset>0</wp:posOffset>
                  </wp:positionV>
                  <wp:extent cx="635" cy="0"/>
                  <wp:effectExtent l="0" t="0" r="0" b="0"/>
                  <wp:wrapNone/>
                  <wp:docPr id="273" name="Line_46_SpCnt_4"/>
                  <wp:cNvGraphicFramePr/>
                  <a:graphic xmlns:a="http://schemas.openxmlformats.org/drawingml/2006/main">
                    <a:graphicData uri="http://schemas.openxmlformats.org/drawingml/2006/picture">
                      <pic:pic xmlns:pic="http://schemas.openxmlformats.org/drawingml/2006/picture">
                        <pic:nvPicPr>
                          <pic:cNvPr id="273" name="Line_46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27200" behindDoc="0" locked="0" layoutInCell="1" allowOverlap="1">
                  <wp:simplePos x="0" y="0"/>
                  <wp:positionH relativeFrom="column">
                    <wp:posOffset>0</wp:posOffset>
                  </wp:positionH>
                  <wp:positionV relativeFrom="paragraph">
                    <wp:posOffset>0</wp:posOffset>
                  </wp:positionV>
                  <wp:extent cx="635" cy="0"/>
                  <wp:effectExtent l="0" t="0" r="0" b="0"/>
                  <wp:wrapNone/>
                  <wp:docPr id="274" name="Line_35_SpCnt_5"/>
                  <wp:cNvGraphicFramePr/>
                  <a:graphic xmlns:a="http://schemas.openxmlformats.org/drawingml/2006/main">
                    <a:graphicData uri="http://schemas.openxmlformats.org/drawingml/2006/picture">
                      <pic:pic xmlns:pic="http://schemas.openxmlformats.org/drawingml/2006/picture">
                        <pic:nvPicPr>
                          <pic:cNvPr id="274" name="Line_35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28224" behindDoc="0" locked="0" layoutInCell="1" allowOverlap="1">
                  <wp:simplePos x="0" y="0"/>
                  <wp:positionH relativeFrom="column">
                    <wp:posOffset>0</wp:posOffset>
                  </wp:positionH>
                  <wp:positionV relativeFrom="paragraph">
                    <wp:posOffset>0</wp:posOffset>
                  </wp:positionV>
                  <wp:extent cx="635" cy="0"/>
                  <wp:effectExtent l="0" t="0" r="0" b="0"/>
                  <wp:wrapNone/>
                  <wp:docPr id="275" name="Line_42_SpCnt_4"/>
                  <wp:cNvGraphicFramePr/>
                  <a:graphic xmlns:a="http://schemas.openxmlformats.org/drawingml/2006/main">
                    <a:graphicData uri="http://schemas.openxmlformats.org/drawingml/2006/picture">
                      <pic:pic xmlns:pic="http://schemas.openxmlformats.org/drawingml/2006/picture">
                        <pic:nvPicPr>
                          <pic:cNvPr id="275" name="Line_42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29248" behindDoc="0" locked="0" layoutInCell="1" allowOverlap="1">
                  <wp:simplePos x="0" y="0"/>
                  <wp:positionH relativeFrom="column">
                    <wp:posOffset>0</wp:posOffset>
                  </wp:positionH>
                  <wp:positionV relativeFrom="paragraph">
                    <wp:posOffset>0</wp:posOffset>
                  </wp:positionV>
                  <wp:extent cx="635" cy="0"/>
                  <wp:effectExtent l="0" t="0" r="0" b="0"/>
                  <wp:wrapNone/>
                  <wp:docPr id="276" name="Line_53_SpCnt_4"/>
                  <wp:cNvGraphicFramePr/>
                  <a:graphic xmlns:a="http://schemas.openxmlformats.org/drawingml/2006/main">
                    <a:graphicData uri="http://schemas.openxmlformats.org/drawingml/2006/picture">
                      <pic:pic xmlns:pic="http://schemas.openxmlformats.org/drawingml/2006/picture">
                        <pic:nvPicPr>
                          <pic:cNvPr id="276" name="Line_53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30272" behindDoc="0" locked="0" layoutInCell="1" allowOverlap="1">
                  <wp:simplePos x="0" y="0"/>
                  <wp:positionH relativeFrom="column">
                    <wp:posOffset>0</wp:posOffset>
                  </wp:positionH>
                  <wp:positionV relativeFrom="paragraph">
                    <wp:posOffset>0</wp:posOffset>
                  </wp:positionV>
                  <wp:extent cx="635" cy="0"/>
                  <wp:effectExtent l="0" t="0" r="0" b="0"/>
                  <wp:wrapNone/>
                  <wp:docPr id="277" name="Line_38_SpCnt_2"/>
                  <wp:cNvGraphicFramePr/>
                  <a:graphic xmlns:a="http://schemas.openxmlformats.org/drawingml/2006/main">
                    <a:graphicData uri="http://schemas.openxmlformats.org/drawingml/2006/picture">
                      <pic:pic xmlns:pic="http://schemas.openxmlformats.org/drawingml/2006/picture">
                        <pic:nvPicPr>
                          <pic:cNvPr id="277" name="Line_38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31296" behindDoc="0" locked="0" layoutInCell="1" allowOverlap="1">
                  <wp:simplePos x="0" y="0"/>
                  <wp:positionH relativeFrom="column">
                    <wp:posOffset>0</wp:posOffset>
                  </wp:positionH>
                  <wp:positionV relativeFrom="paragraph">
                    <wp:posOffset>0</wp:posOffset>
                  </wp:positionV>
                  <wp:extent cx="635" cy="0"/>
                  <wp:effectExtent l="0" t="0" r="0" b="0"/>
                  <wp:wrapNone/>
                  <wp:docPr id="278" name="Line_69_SpCnt_47"/>
                  <wp:cNvGraphicFramePr/>
                  <a:graphic xmlns:a="http://schemas.openxmlformats.org/drawingml/2006/main">
                    <a:graphicData uri="http://schemas.openxmlformats.org/drawingml/2006/picture">
                      <pic:pic xmlns:pic="http://schemas.openxmlformats.org/drawingml/2006/picture">
                        <pic:nvPicPr>
                          <pic:cNvPr id="278" name="Line_69_SpCnt_47"/>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32320" behindDoc="0" locked="0" layoutInCell="1" allowOverlap="1">
                  <wp:simplePos x="0" y="0"/>
                  <wp:positionH relativeFrom="column">
                    <wp:posOffset>0</wp:posOffset>
                  </wp:positionH>
                  <wp:positionV relativeFrom="paragraph">
                    <wp:posOffset>0</wp:posOffset>
                  </wp:positionV>
                  <wp:extent cx="635" cy="0"/>
                  <wp:effectExtent l="0" t="0" r="0" b="0"/>
                  <wp:wrapNone/>
                  <wp:docPr id="279" name="Line_34_SpCnt_3"/>
                  <wp:cNvGraphicFramePr/>
                  <a:graphic xmlns:a="http://schemas.openxmlformats.org/drawingml/2006/main">
                    <a:graphicData uri="http://schemas.openxmlformats.org/drawingml/2006/picture">
                      <pic:pic xmlns:pic="http://schemas.openxmlformats.org/drawingml/2006/picture">
                        <pic:nvPicPr>
                          <pic:cNvPr id="279" name="Line_34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33344" behindDoc="0" locked="0" layoutInCell="1" allowOverlap="1">
                  <wp:simplePos x="0" y="0"/>
                  <wp:positionH relativeFrom="column">
                    <wp:posOffset>0</wp:posOffset>
                  </wp:positionH>
                  <wp:positionV relativeFrom="paragraph">
                    <wp:posOffset>0</wp:posOffset>
                  </wp:positionV>
                  <wp:extent cx="635" cy="0"/>
                  <wp:effectExtent l="0" t="0" r="0" b="0"/>
                  <wp:wrapNone/>
                  <wp:docPr id="280" name="Line_27_SpCnt_4"/>
                  <wp:cNvGraphicFramePr/>
                  <a:graphic xmlns:a="http://schemas.openxmlformats.org/drawingml/2006/main">
                    <a:graphicData uri="http://schemas.openxmlformats.org/drawingml/2006/picture">
                      <pic:pic xmlns:pic="http://schemas.openxmlformats.org/drawingml/2006/picture">
                        <pic:nvPicPr>
                          <pic:cNvPr id="280" name="Line_27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34368" behindDoc="0" locked="0" layoutInCell="1" allowOverlap="1">
                  <wp:simplePos x="0" y="0"/>
                  <wp:positionH relativeFrom="column">
                    <wp:posOffset>0</wp:posOffset>
                  </wp:positionH>
                  <wp:positionV relativeFrom="paragraph">
                    <wp:posOffset>0</wp:posOffset>
                  </wp:positionV>
                  <wp:extent cx="635" cy="0"/>
                  <wp:effectExtent l="0" t="0" r="0" b="0"/>
                  <wp:wrapNone/>
                  <wp:docPr id="281" name="Line_30_SpCnt_2"/>
                  <wp:cNvGraphicFramePr/>
                  <a:graphic xmlns:a="http://schemas.openxmlformats.org/drawingml/2006/main">
                    <a:graphicData uri="http://schemas.openxmlformats.org/drawingml/2006/picture">
                      <pic:pic xmlns:pic="http://schemas.openxmlformats.org/drawingml/2006/picture">
                        <pic:nvPicPr>
                          <pic:cNvPr id="281" name="Line_30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35392" behindDoc="0" locked="0" layoutInCell="1" allowOverlap="1">
                  <wp:simplePos x="0" y="0"/>
                  <wp:positionH relativeFrom="column">
                    <wp:posOffset>0</wp:posOffset>
                  </wp:positionH>
                  <wp:positionV relativeFrom="paragraph">
                    <wp:posOffset>0</wp:posOffset>
                  </wp:positionV>
                  <wp:extent cx="635" cy="0"/>
                  <wp:effectExtent l="0" t="0" r="0" b="0"/>
                  <wp:wrapNone/>
                  <wp:docPr id="282" name="Line_21_SpCnt_5"/>
                  <wp:cNvGraphicFramePr/>
                  <a:graphic xmlns:a="http://schemas.openxmlformats.org/drawingml/2006/main">
                    <a:graphicData uri="http://schemas.openxmlformats.org/drawingml/2006/picture">
                      <pic:pic xmlns:pic="http://schemas.openxmlformats.org/drawingml/2006/picture">
                        <pic:nvPicPr>
                          <pic:cNvPr id="282" name="Line_21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36416" behindDoc="0" locked="0" layoutInCell="1" allowOverlap="1">
                  <wp:simplePos x="0" y="0"/>
                  <wp:positionH relativeFrom="column">
                    <wp:posOffset>0</wp:posOffset>
                  </wp:positionH>
                  <wp:positionV relativeFrom="paragraph">
                    <wp:posOffset>0</wp:posOffset>
                  </wp:positionV>
                  <wp:extent cx="635" cy="0"/>
                  <wp:effectExtent l="0" t="0" r="0" b="0"/>
                  <wp:wrapNone/>
                  <wp:docPr id="283" name="Line_26_SpCnt_2"/>
                  <wp:cNvGraphicFramePr/>
                  <a:graphic xmlns:a="http://schemas.openxmlformats.org/drawingml/2006/main">
                    <a:graphicData uri="http://schemas.openxmlformats.org/drawingml/2006/picture">
                      <pic:pic xmlns:pic="http://schemas.openxmlformats.org/drawingml/2006/picture">
                        <pic:nvPicPr>
                          <pic:cNvPr id="283" name="Line_26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37440" behindDoc="0" locked="0" layoutInCell="1" allowOverlap="1">
                  <wp:simplePos x="0" y="0"/>
                  <wp:positionH relativeFrom="column">
                    <wp:posOffset>0</wp:posOffset>
                  </wp:positionH>
                  <wp:positionV relativeFrom="paragraph">
                    <wp:posOffset>0</wp:posOffset>
                  </wp:positionV>
                  <wp:extent cx="635" cy="0"/>
                  <wp:effectExtent l="0" t="0" r="0" b="0"/>
                  <wp:wrapNone/>
                  <wp:docPr id="284" name="Line_47_SpCnt_4"/>
                  <wp:cNvGraphicFramePr/>
                  <a:graphic xmlns:a="http://schemas.openxmlformats.org/drawingml/2006/main">
                    <a:graphicData uri="http://schemas.openxmlformats.org/drawingml/2006/picture">
                      <pic:pic xmlns:pic="http://schemas.openxmlformats.org/drawingml/2006/picture">
                        <pic:nvPicPr>
                          <pic:cNvPr id="284" name="Line_47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38464" behindDoc="0" locked="0" layoutInCell="1" allowOverlap="1">
                  <wp:simplePos x="0" y="0"/>
                  <wp:positionH relativeFrom="column">
                    <wp:posOffset>0</wp:posOffset>
                  </wp:positionH>
                  <wp:positionV relativeFrom="paragraph">
                    <wp:posOffset>0</wp:posOffset>
                  </wp:positionV>
                  <wp:extent cx="635" cy="0"/>
                  <wp:effectExtent l="0" t="0" r="0" b="0"/>
                  <wp:wrapNone/>
                  <wp:docPr id="285" name="Line_22_SpCnt_3"/>
                  <wp:cNvGraphicFramePr/>
                  <a:graphic xmlns:a="http://schemas.openxmlformats.org/drawingml/2006/main">
                    <a:graphicData uri="http://schemas.openxmlformats.org/drawingml/2006/picture">
                      <pic:pic xmlns:pic="http://schemas.openxmlformats.org/drawingml/2006/picture">
                        <pic:nvPicPr>
                          <pic:cNvPr id="285" name="Line_22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39488" behindDoc="0" locked="0" layoutInCell="1" allowOverlap="1">
                  <wp:simplePos x="0" y="0"/>
                  <wp:positionH relativeFrom="column">
                    <wp:posOffset>0</wp:posOffset>
                  </wp:positionH>
                  <wp:positionV relativeFrom="paragraph">
                    <wp:posOffset>0</wp:posOffset>
                  </wp:positionV>
                  <wp:extent cx="635" cy="0"/>
                  <wp:effectExtent l="0" t="0" r="0" b="0"/>
                  <wp:wrapNone/>
                  <wp:docPr id="286" name="Line_64_SpCnt_2"/>
                  <wp:cNvGraphicFramePr/>
                  <a:graphic xmlns:a="http://schemas.openxmlformats.org/drawingml/2006/main">
                    <a:graphicData uri="http://schemas.openxmlformats.org/drawingml/2006/picture">
                      <pic:pic xmlns:pic="http://schemas.openxmlformats.org/drawingml/2006/picture">
                        <pic:nvPicPr>
                          <pic:cNvPr id="286" name="Line_64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40512" behindDoc="0" locked="0" layoutInCell="1" allowOverlap="1">
                  <wp:simplePos x="0" y="0"/>
                  <wp:positionH relativeFrom="column">
                    <wp:posOffset>0</wp:posOffset>
                  </wp:positionH>
                  <wp:positionV relativeFrom="paragraph">
                    <wp:posOffset>0</wp:posOffset>
                  </wp:positionV>
                  <wp:extent cx="635" cy="0"/>
                  <wp:effectExtent l="0" t="0" r="0" b="0"/>
                  <wp:wrapNone/>
                  <wp:docPr id="287" name="Line_18_SpCnt_3"/>
                  <wp:cNvGraphicFramePr/>
                  <a:graphic xmlns:a="http://schemas.openxmlformats.org/drawingml/2006/main">
                    <a:graphicData uri="http://schemas.openxmlformats.org/drawingml/2006/picture">
                      <pic:pic xmlns:pic="http://schemas.openxmlformats.org/drawingml/2006/picture">
                        <pic:nvPicPr>
                          <pic:cNvPr id="287" name="Line_18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41536" behindDoc="0" locked="0" layoutInCell="1" allowOverlap="1">
                  <wp:simplePos x="0" y="0"/>
                  <wp:positionH relativeFrom="column">
                    <wp:posOffset>0</wp:posOffset>
                  </wp:positionH>
                  <wp:positionV relativeFrom="paragraph">
                    <wp:posOffset>0</wp:posOffset>
                  </wp:positionV>
                  <wp:extent cx="635" cy="0"/>
                  <wp:effectExtent l="0" t="0" r="0" b="0"/>
                  <wp:wrapNone/>
                  <wp:docPr id="288" name="Line_44_SpCnt_4"/>
                  <wp:cNvGraphicFramePr/>
                  <a:graphic xmlns:a="http://schemas.openxmlformats.org/drawingml/2006/main">
                    <a:graphicData uri="http://schemas.openxmlformats.org/drawingml/2006/picture">
                      <pic:pic xmlns:pic="http://schemas.openxmlformats.org/drawingml/2006/picture">
                        <pic:nvPicPr>
                          <pic:cNvPr id="288" name="Line_44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42560" behindDoc="0" locked="0" layoutInCell="1" allowOverlap="1">
                  <wp:simplePos x="0" y="0"/>
                  <wp:positionH relativeFrom="column">
                    <wp:posOffset>0</wp:posOffset>
                  </wp:positionH>
                  <wp:positionV relativeFrom="paragraph">
                    <wp:posOffset>0</wp:posOffset>
                  </wp:positionV>
                  <wp:extent cx="635" cy="0"/>
                  <wp:effectExtent l="0" t="0" r="0" b="0"/>
                  <wp:wrapNone/>
                  <wp:docPr id="289" name="Line_55_SpCnt_5"/>
                  <wp:cNvGraphicFramePr/>
                  <a:graphic xmlns:a="http://schemas.openxmlformats.org/drawingml/2006/main">
                    <a:graphicData uri="http://schemas.openxmlformats.org/drawingml/2006/picture">
                      <pic:pic xmlns:pic="http://schemas.openxmlformats.org/drawingml/2006/picture">
                        <pic:nvPicPr>
                          <pic:cNvPr id="289" name="Line_55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43584" behindDoc="0" locked="0" layoutInCell="1" allowOverlap="1">
                  <wp:simplePos x="0" y="0"/>
                  <wp:positionH relativeFrom="column">
                    <wp:posOffset>0</wp:posOffset>
                  </wp:positionH>
                  <wp:positionV relativeFrom="paragraph">
                    <wp:posOffset>0</wp:posOffset>
                  </wp:positionV>
                  <wp:extent cx="635" cy="0"/>
                  <wp:effectExtent l="0" t="0" r="0" b="0"/>
                  <wp:wrapNone/>
                  <wp:docPr id="290" name="Line_16_SpCnt_4"/>
                  <wp:cNvGraphicFramePr/>
                  <a:graphic xmlns:a="http://schemas.openxmlformats.org/drawingml/2006/main">
                    <a:graphicData uri="http://schemas.openxmlformats.org/drawingml/2006/picture">
                      <pic:pic xmlns:pic="http://schemas.openxmlformats.org/drawingml/2006/picture">
                        <pic:nvPicPr>
                          <pic:cNvPr id="290" name="Line_16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44608" behindDoc="0" locked="0" layoutInCell="1" allowOverlap="1">
                  <wp:simplePos x="0" y="0"/>
                  <wp:positionH relativeFrom="column">
                    <wp:posOffset>0</wp:posOffset>
                  </wp:positionH>
                  <wp:positionV relativeFrom="paragraph">
                    <wp:posOffset>0</wp:posOffset>
                  </wp:positionV>
                  <wp:extent cx="635" cy="0"/>
                  <wp:effectExtent l="0" t="0" r="0" b="0"/>
                  <wp:wrapNone/>
                  <wp:docPr id="291" name="Line_38_SpCnt_3"/>
                  <wp:cNvGraphicFramePr/>
                  <a:graphic xmlns:a="http://schemas.openxmlformats.org/drawingml/2006/main">
                    <a:graphicData uri="http://schemas.openxmlformats.org/drawingml/2006/picture">
                      <pic:pic xmlns:pic="http://schemas.openxmlformats.org/drawingml/2006/picture">
                        <pic:nvPicPr>
                          <pic:cNvPr id="291" name="Line_38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45632" behindDoc="0" locked="0" layoutInCell="1" allowOverlap="1">
                  <wp:simplePos x="0" y="0"/>
                  <wp:positionH relativeFrom="column">
                    <wp:posOffset>0</wp:posOffset>
                  </wp:positionH>
                  <wp:positionV relativeFrom="paragraph">
                    <wp:posOffset>0</wp:posOffset>
                  </wp:positionV>
                  <wp:extent cx="635" cy="0"/>
                  <wp:effectExtent l="0" t="0" r="0" b="0"/>
                  <wp:wrapNone/>
                  <wp:docPr id="292" name="Line_53_SpCnt_5"/>
                  <wp:cNvGraphicFramePr/>
                  <a:graphic xmlns:a="http://schemas.openxmlformats.org/drawingml/2006/main">
                    <a:graphicData uri="http://schemas.openxmlformats.org/drawingml/2006/picture">
                      <pic:pic xmlns:pic="http://schemas.openxmlformats.org/drawingml/2006/picture">
                        <pic:nvPicPr>
                          <pic:cNvPr id="292" name="Line_53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46656" behindDoc="0" locked="0" layoutInCell="1" allowOverlap="1">
                  <wp:simplePos x="0" y="0"/>
                  <wp:positionH relativeFrom="column">
                    <wp:posOffset>0</wp:posOffset>
                  </wp:positionH>
                  <wp:positionV relativeFrom="paragraph">
                    <wp:posOffset>0</wp:posOffset>
                  </wp:positionV>
                  <wp:extent cx="635" cy="0"/>
                  <wp:effectExtent l="0" t="0" r="0" b="0"/>
                  <wp:wrapNone/>
                  <wp:docPr id="293" name="Line_30_SpCnt_3"/>
                  <wp:cNvGraphicFramePr/>
                  <a:graphic xmlns:a="http://schemas.openxmlformats.org/drawingml/2006/main">
                    <a:graphicData uri="http://schemas.openxmlformats.org/drawingml/2006/picture">
                      <pic:pic xmlns:pic="http://schemas.openxmlformats.org/drawingml/2006/picture">
                        <pic:nvPicPr>
                          <pic:cNvPr id="293" name="Line_30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47680" behindDoc="0" locked="0" layoutInCell="1" allowOverlap="1">
                  <wp:simplePos x="0" y="0"/>
                  <wp:positionH relativeFrom="column">
                    <wp:posOffset>0</wp:posOffset>
                  </wp:positionH>
                  <wp:positionV relativeFrom="paragraph">
                    <wp:posOffset>0</wp:posOffset>
                  </wp:positionV>
                  <wp:extent cx="635" cy="0"/>
                  <wp:effectExtent l="0" t="0" r="0" b="0"/>
                  <wp:wrapNone/>
                  <wp:docPr id="294" name="Line_25_SpCnt_5"/>
                  <wp:cNvGraphicFramePr/>
                  <a:graphic xmlns:a="http://schemas.openxmlformats.org/drawingml/2006/main">
                    <a:graphicData uri="http://schemas.openxmlformats.org/drawingml/2006/picture">
                      <pic:pic xmlns:pic="http://schemas.openxmlformats.org/drawingml/2006/picture">
                        <pic:nvPicPr>
                          <pic:cNvPr id="294" name="Line_25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48704" behindDoc="0" locked="0" layoutInCell="1" allowOverlap="1">
                  <wp:simplePos x="0" y="0"/>
                  <wp:positionH relativeFrom="column">
                    <wp:posOffset>0</wp:posOffset>
                  </wp:positionH>
                  <wp:positionV relativeFrom="paragraph">
                    <wp:posOffset>0</wp:posOffset>
                  </wp:positionV>
                  <wp:extent cx="635" cy="0"/>
                  <wp:effectExtent l="0" t="0" r="0" b="0"/>
                  <wp:wrapNone/>
                  <wp:docPr id="295" name="Line_22_SpCnt_4"/>
                  <wp:cNvGraphicFramePr/>
                  <a:graphic xmlns:a="http://schemas.openxmlformats.org/drawingml/2006/main">
                    <a:graphicData uri="http://schemas.openxmlformats.org/drawingml/2006/picture">
                      <pic:pic xmlns:pic="http://schemas.openxmlformats.org/drawingml/2006/picture">
                        <pic:nvPicPr>
                          <pic:cNvPr id="295" name="Line_22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49728" behindDoc="0" locked="0" layoutInCell="1" allowOverlap="1">
                  <wp:simplePos x="0" y="0"/>
                  <wp:positionH relativeFrom="column">
                    <wp:posOffset>0</wp:posOffset>
                  </wp:positionH>
                  <wp:positionV relativeFrom="paragraph">
                    <wp:posOffset>0</wp:posOffset>
                  </wp:positionV>
                  <wp:extent cx="635" cy="0"/>
                  <wp:effectExtent l="0" t="0" r="0" b="0"/>
                  <wp:wrapNone/>
                  <wp:docPr id="296" name="Line_31_SpCnt_5"/>
                  <wp:cNvGraphicFramePr/>
                  <a:graphic xmlns:a="http://schemas.openxmlformats.org/drawingml/2006/main">
                    <a:graphicData uri="http://schemas.openxmlformats.org/drawingml/2006/picture">
                      <pic:pic xmlns:pic="http://schemas.openxmlformats.org/drawingml/2006/picture">
                        <pic:nvPicPr>
                          <pic:cNvPr id="296" name="Line_31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50752" behindDoc="0" locked="0" layoutInCell="1" allowOverlap="1">
                  <wp:simplePos x="0" y="0"/>
                  <wp:positionH relativeFrom="column">
                    <wp:posOffset>0</wp:posOffset>
                  </wp:positionH>
                  <wp:positionV relativeFrom="paragraph">
                    <wp:posOffset>0</wp:posOffset>
                  </wp:positionV>
                  <wp:extent cx="635" cy="0"/>
                  <wp:effectExtent l="0" t="0" r="0" b="0"/>
                  <wp:wrapNone/>
                  <wp:docPr id="297" name="Line_62_SpCnt_4"/>
                  <wp:cNvGraphicFramePr/>
                  <a:graphic xmlns:a="http://schemas.openxmlformats.org/drawingml/2006/main">
                    <a:graphicData uri="http://schemas.openxmlformats.org/drawingml/2006/picture">
                      <pic:pic xmlns:pic="http://schemas.openxmlformats.org/drawingml/2006/picture">
                        <pic:nvPicPr>
                          <pic:cNvPr id="297" name="Line_62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51776" behindDoc="0" locked="0" layoutInCell="1" allowOverlap="1">
                  <wp:simplePos x="0" y="0"/>
                  <wp:positionH relativeFrom="column">
                    <wp:posOffset>0</wp:posOffset>
                  </wp:positionH>
                  <wp:positionV relativeFrom="paragraph">
                    <wp:posOffset>0</wp:posOffset>
                  </wp:positionV>
                  <wp:extent cx="635" cy="0"/>
                  <wp:effectExtent l="0" t="0" r="0" b="0"/>
                  <wp:wrapNone/>
                  <wp:docPr id="298" name="Line_69_SpCnt_48"/>
                  <wp:cNvGraphicFramePr/>
                  <a:graphic xmlns:a="http://schemas.openxmlformats.org/drawingml/2006/main">
                    <a:graphicData uri="http://schemas.openxmlformats.org/drawingml/2006/picture">
                      <pic:pic xmlns:pic="http://schemas.openxmlformats.org/drawingml/2006/picture">
                        <pic:nvPicPr>
                          <pic:cNvPr id="298" name="Line_69_SpCnt_48"/>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52800" behindDoc="0" locked="0" layoutInCell="1" allowOverlap="1">
                  <wp:simplePos x="0" y="0"/>
                  <wp:positionH relativeFrom="column">
                    <wp:posOffset>0</wp:posOffset>
                  </wp:positionH>
                  <wp:positionV relativeFrom="paragraph">
                    <wp:posOffset>0</wp:posOffset>
                  </wp:positionV>
                  <wp:extent cx="635" cy="0"/>
                  <wp:effectExtent l="0" t="0" r="0" b="0"/>
                  <wp:wrapNone/>
                  <wp:docPr id="299" name="Line_65_SpCnt_4"/>
                  <wp:cNvGraphicFramePr/>
                  <a:graphic xmlns:a="http://schemas.openxmlformats.org/drawingml/2006/main">
                    <a:graphicData uri="http://schemas.openxmlformats.org/drawingml/2006/picture">
                      <pic:pic xmlns:pic="http://schemas.openxmlformats.org/drawingml/2006/picture">
                        <pic:nvPicPr>
                          <pic:cNvPr id="299" name="Line_65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53824" behindDoc="0" locked="0" layoutInCell="1" allowOverlap="1">
                  <wp:simplePos x="0" y="0"/>
                  <wp:positionH relativeFrom="column">
                    <wp:posOffset>0</wp:posOffset>
                  </wp:positionH>
                  <wp:positionV relativeFrom="paragraph">
                    <wp:posOffset>0</wp:posOffset>
                  </wp:positionV>
                  <wp:extent cx="635" cy="0"/>
                  <wp:effectExtent l="0" t="0" r="0" b="0"/>
                  <wp:wrapNone/>
                  <wp:docPr id="300" name="Line_54_SpCnt_4"/>
                  <wp:cNvGraphicFramePr/>
                  <a:graphic xmlns:a="http://schemas.openxmlformats.org/drawingml/2006/main">
                    <a:graphicData uri="http://schemas.openxmlformats.org/drawingml/2006/picture">
                      <pic:pic xmlns:pic="http://schemas.openxmlformats.org/drawingml/2006/picture">
                        <pic:nvPicPr>
                          <pic:cNvPr id="300" name="Line_54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54848" behindDoc="0" locked="0" layoutInCell="1" allowOverlap="1">
                  <wp:simplePos x="0" y="0"/>
                  <wp:positionH relativeFrom="column">
                    <wp:posOffset>0</wp:posOffset>
                  </wp:positionH>
                  <wp:positionV relativeFrom="paragraph">
                    <wp:posOffset>0</wp:posOffset>
                  </wp:positionV>
                  <wp:extent cx="635" cy="0"/>
                  <wp:effectExtent l="0" t="0" r="0" b="0"/>
                  <wp:wrapNone/>
                  <wp:docPr id="301" name="Line_56_SpCnt_4"/>
                  <wp:cNvGraphicFramePr/>
                  <a:graphic xmlns:a="http://schemas.openxmlformats.org/drawingml/2006/main">
                    <a:graphicData uri="http://schemas.openxmlformats.org/drawingml/2006/picture">
                      <pic:pic xmlns:pic="http://schemas.openxmlformats.org/drawingml/2006/picture">
                        <pic:nvPicPr>
                          <pic:cNvPr id="301" name="Line_56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55872" behindDoc="0" locked="0" layoutInCell="1" allowOverlap="1">
                  <wp:simplePos x="0" y="0"/>
                  <wp:positionH relativeFrom="column">
                    <wp:posOffset>0</wp:posOffset>
                  </wp:positionH>
                  <wp:positionV relativeFrom="paragraph">
                    <wp:posOffset>0</wp:posOffset>
                  </wp:positionV>
                  <wp:extent cx="635" cy="0"/>
                  <wp:effectExtent l="0" t="0" r="0" b="0"/>
                  <wp:wrapNone/>
                  <wp:docPr id="302" name="Line_46_SpCnt_5"/>
                  <wp:cNvGraphicFramePr/>
                  <a:graphic xmlns:a="http://schemas.openxmlformats.org/drawingml/2006/main">
                    <a:graphicData uri="http://schemas.openxmlformats.org/drawingml/2006/picture">
                      <pic:pic xmlns:pic="http://schemas.openxmlformats.org/drawingml/2006/picture">
                        <pic:nvPicPr>
                          <pic:cNvPr id="302" name="Line_46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56896" behindDoc="0" locked="0" layoutInCell="1" allowOverlap="1">
                  <wp:simplePos x="0" y="0"/>
                  <wp:positionH relativeFrom="column">
                    <wp:posOffset>0</wp:posOffset>
                  </wp:positionH>
                  <wp:positionV relativeFrom="paragraph">
                    <wp:posOffset>0</wp:posOffset>
                  </wp:positionV>
                  <wp:extent cx="635" cy="0"/>
                  <wp:effectExtent l="0" t="0" r="0" b="0"/>
                  <wp:wrapNone/>
                  <wp:docPr id="303" name="Line_52_SpCnt_3"/>
                  <wp:cNvGraphicFramePr/>
                  <a:graphic xmlns:a="http://schemas.openxmlformats.org/drawingml/2006/main">
                    <a:graphicData uri="http://schemas.openxmlformats.org/drawingml/2006/picture">
                      <pic:pic xmlns:pic="http://schemas.openxmlformats.org/drawingml/2006/picture">
                        <pic:nvPicPr>
                          <pic:cNvPr id="303" name="Line_52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57920" behindDoc="0" locked="0" layoutInCell="1" allowOverlap="1">
                  <wp:simplePos x="0" y="0"/>
                  <wp:positionH relativeFrom="column">
                    <wp:posOffset>0</wp:posOffset>
                  </wp:positionH>
                  <wp:positionV relativeFrom="paragraph">
                    <wp:posOffset>0</wp:posOffset>
                  </wp:positionV>
                  <wp:extent cx="635" cy="0"/>
                  <wp:effectExtent l="0" t="0" r="0" b="0"/>
                  <wp:wrapNone/>
                  <wp:docPr id="304" name="Line_38_SpCnt_4"/>
                  <wp:cNvGraphicFramePr/>
                  <a:graphic xmlns:a="http://schemas.openxmlformats.org/drawingml/2006/main">
                    <a:graphicData uri="http://schemas.openxmlformats.org/drawingml/2006/picture">
                      <pic:pic xmlns:pic="http://schemas.openxmlformats.org/drawingml/2006/picture">
                        <pic:nvPicPr>
                          <pic:cNvPr id="304" name="Line_38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58944" behindDoc="0" locked="0" layoutInCell="1" allowOverlap="1">
                  <wp:simplePos x="0" y="0"/>
                  <wp:positionH relativeFrom="column">
                    <wp:posOffset>0</wp:posOffset>
                  </wp:positionH>
                  <wp:positionV relativeFrom="paragraph">
                    <wp:posOffset>0</wp:posOffset>
                  </wp:positionV>
                  <wp:extent cx="635" cy="0"/>
                  <wp:effectExtent l="0" t="0" r="0" b="0"/>
                  <wp:wrapNone/>
                  <wp:docPr id="305" name="Line_32_SpCnt_4"/>
                  <wp:cNvGraphicFramePr/>
                  <a:graphic xmlns:a="http://schemas.openxmlformats.org/drawingml/2006/main">
                    <a:graphicData uri="http://schemas.openxmlformats.org/drawingml/2006/picture">
                      <pic:pic xmlns:pic="http://schemas.openxmlformats.org/drawingml/2006/picture">
                        <pic:nvPicPr>
                          <pic:cNvPr id="305" name="Line_32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59968" behindDoc="0" locked="0" layoutInCell="1" allowOverlap="1">
                  <wp:simplePos x="0" y="0"/>
                  <wp:positionH relativeFrom="column">
                    <wp:posOffset>0</wp:posOffset>
                  </wp:positionH>
                  <wp:positionV relativeFrom="paragraph">
                    <wp:posOffset>0</wp:posOffset>
                  </wp:positionV>
                  <wp:extent cx="635" cy="0"/>
                  <wp:effectExtent l="0" t="0" r="0" b="0"/>
                  <wp:wrapNone/>
                  <wp:docPr id="306" name="Line_30_SpCnt_4"/>
                  <wp:cNvGraphicFramePr/>
                  <a:graphic xmlns:a="http://schemas.openxmlformats.org/drawingml/2006/main">
                    <a:graphicData uri="http://schemas.openxmlformats.org/drawingml/2006/picture">
                      <pic:pic xmlns:pic="http://schemas.openxmlformats.org/drawingml/2006/picture">
                        <pic:nvPicPr>
                          <pic:cNvPr id="306" name="Line_30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60992" behindDoc="0" locked="0" layoutInCell="1" allowOverlap="1">
                  <wp:simplePos x="0" y="0"/>
                  <wp:positionH relativeFrom="column">
                    <wp:posOffset>0</wp:posOffset>
                  </wp:positionH>
                  <wp:positionV relativeFrom="paragraph">
                    <wp:posOffset>0</wp:posOffset>
                  </wp:positionV>
                  <wp:extent cx="635" cy="0"/>
                  <wp:effectExtent l="0" t="0" r="0" b="0"/>
                  <wp:wrapNone/>
                  <wp:docPr id="307" name="Line_38_SpCnt_5"/>
                  <wp:cNvGraphicFramePr/>
                  <a:graphic xmlns:a="http://schemas.openxmlformats.org/drawingml/2006/main">
                    <a:graphicData uri="http://schemas.openxmlformats.org/drawingml/2006/picture">
                      <pic:pic xmlns:pic="http://schemas.openxmlformats.org/drawingml/2006/picture">
                        <pic:nvPicPr>
                          <pic:cNvPr id="307" name="Line_38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62016" behindDoc="0" locked="0" layoutInCell="1" allowOverlap="1">
                  <wp:simplePos x="0" y="0"/>
                  <wp:positionH relativeFrom="column">
                    <wp:posOffset>0</wp:posOffset>
                  </wp:positionH>
                  <wp:positionV relativeFrom="paragraph">
                    <wp:posOffset>0</wp:posOffset>
                  </wp:positionV>
                  <wp:extent cx="635" cy="0"/>
                  <wp:effectExtent l="0" t="0" r="0" b="0"/>
                  <wp:wrapNone/>
                  <wp:docPr id="308" name="Line_22_SpCnt_5"/>
                  <wp:cNvGraphicFramePr/>
                  <a:graphic xmlns:a="http://schemas.openxmlformats.org/drawingml/2006/main">
                    <a:graphicData uri="http://schemas.openxmlformats.org/drawingml/2006/picture">
                      <pic:pic xmlns:pic="http://schemas.openxmlformats.org/drawingml/2006/picture">
                        <pic:nvPicPr>
                          <pic:cNvPr id="308" name="Line_22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63040" behindDoc="0" locked="0" layoutInCell="1" allowOverlap="1">
                  <wp:simplePos x="0" y="0"/>
                  <wp:positionH relativeFrom="column">
                    <wp:posOffset>0</wp:posOffset>
                  </wp:positionH>
                  <wp:positionV relativeFrom="paragraph">
                    <wp:posOffset>0</wp:posOffset>
                  </wp:positionV>
                  <wp:extent cx="635" cy="0"/>
                  <wp:effectExtent l="0" t="0" r="0" b="0"/>
                  <wp:wrapNone/>
                  <wp:docPr id="309" name="Line_30_SpCnt_5"/>
                  <wp:cNvGraphicFramePr/>
                  <a:graphic xmlns:a="http://schemas.openxmlformats.org/drawingml/2006/main">
                    <a:graphicData uri="http://schemas.openxmlformats.org/drawingml/2006/picture">
                      <pic:pic xmlns:pic="http://schemas.openxmlformats.org/drawingml/2006/picture">
                        <pic:nvPicPr>
                          <pic:cNvPr id="309" name="Line_30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64064" behindDoc="0" locked="0" layoutInCell="1" allowOverlap="1">
                  <wp:simplePos x="0" y="0"/>
                  <wp:positionH relativeFrom="column">
                    <wp:posOffset>0</wp:posOffset>
                  </wp:positionH>
                  <wp:positionV relativeFrom="paragraph">
                    <wp:posOffset>0</wp:posOffset>
                  </wp:positionV>
                  <wp:extent cx="635" cy="0"/>
                  <wp:effectExtent l="0" t="0" r="0" b="0"/>
                  <wp:wrapNone/>
                  <wp:docPr id="310" name="Line_27_SpCnt_5"/>
                  <wp:cNvGraphicFramePr/>
                  <a:graphic xmlns:a="http://schemas.openxmlformats.org/drawingml/2006/main">
                    <a:graphicData uri="http://schemas.openxmlformats.org/drawingml/2006/picture">
                      <pic:pic xmlns:pic="http://schemas.openxmlformats.org/drawingml/2006/picture">
                        <pic:nvPicPr>
                          <pic:cNvPr id="310" name="Line_27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65088" behindDoc="0" locked="0" layoutInCell="1" allowOverlap="1">
                  <wp:simplePos x="0" y="0"/>
                  <wp:positionH relativeFrom="column">
                    <wp:posOffset>0</wp:posOffset>
                  </wp:positionH>
                  <wp:positionV relativeFrom="paragraph">
                    <wp:posOffset>0</wp:posOffset>
                  </wp:positionV>
                  <wp:extent cx="635" cy="0"/>
                  <wp:effectExtent l="0" t="0" r="0" b="0"/>
                  <wp:wrapNone/>
                  <wp:docPr id="311" name="Line_26_SpCnt_3"/>
                  <wp:cNvGraphicFramePr/>
                  <a:graphic xmlns:a="http://schemas.openxmlformats.org/drawingml/2006/main">
                    <a:graphicData uri="http://schemas.openxmlformats.org/drawingml/2006/picture">
                      <pic:pic xmlns:pic="http://schemas.openxmlformats.org/drawingml/2006/picture">
                        <pic:nvPicPr>
                          <pic:cNvPr id="311" name="Line_26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66112" behindDoc="0" locked="0" layoutInCell="1" allowOverlap="1">
                  <wp:simplePos x="0" y="0"/>
                  <wp:positionH relativeFrom="column">
                    <wp:posOffset>0</wp:posOffset>
                  </wp:positionH>
                  <wp:positionV relativeFrom="paragraph">
                    <wp:posOffset>0</wp:posOffset>
                  </wp:positionV>
                  <wp:extent cx="635" cy="0"/>
                  <wp:effectExtent l="0" t="0" r="0" b="0"/>
                  <wp:wrapNone/>
                  <wp:docPr id="312" name="Line_64_SpCnt_3"/>
                  <wp:cNvGraphicFramePr/>
                  <a:graphic xmlns:a="http://schemas.openxmlformats.org/drawingml/2006/main">
                    <a:graphicData uri="http://schemas.openxmlformats.org/drawingml/2006/picture">
                      <pic:pic xmlns:pic="http://schemas.openxmlformats.org/drawingml/2006/picture">
                        <pic:nvPicPr>
                          <pic:cNvPr id="312" name="Line_64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67136" behindDoc="0" locked="0" layoutInCell="1" allowOverlap="1">
                  <wp:simplePos x="0" y="0"/>
                  <wp:positionH relativeFrom="column">
                    <wp:posOffset>0</wp:posOffset>
                  </wp:positionH>
                  <wp:positionV relativeFrom="paragraph">
                    <wp:posOffset>0</wp:posOffset>
                  </wp:positionV>
                  <wp:extent cx="635" cy="0"/>
                  <wp:effectExtent l="0" t="0" r="0" b="0"/>
                  <wp:wrapNone/>
                  <wp:docPr id="313" name="Line_49_SpCnt_5"/>
                  <wp:cNvGraphicFramePr/>
                  <a:graphic xmlns:a="http://schemas.openxmlformats.org/drawingml/2006/main">
                    <a:graphicData uri="http://schemas.openxmlformats.org/drawingml/2006/picture">
                      <pic:pic xmlns:pic="http://schemas.openxmlformats.org/drawingml/2006/picture">
                        <pic:nvPicPr>
                          <pic:cNvPr id="313" name="Line_49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68160" behindDoc="0" locked="0" layoutInCell="1" allowOverlap="1">
                  <wp:simplePos x="0" y="0"/>
                  <wp:positionH relativeFrom="column">
                    <wp:posOffset>0</wp:posOffset>
                  </wp:positionH>
                  <wp:positionV relativeFrom="paragraph">
                    <wp:posOffset>0</wp:posOffset>
                  </wp:positionV>
                  <wp:extent cx="635" cy="0"/>
                  <wp:effectExtent l="0" t="0" r="0" b="0"/>
                  <wp:wrapNone/>
                  <wp:docPr id="314" name="Line_69_SpCnt_49"/>
                  <wp:cNvGraphicFramePr/>
                  <a:graphic xmlns:a="http://schemas.openxmlformats.org/drawingml/2006/main">
                    <a:graphicData uri="http://schemas.openxmlformats.org/drawingml/2006/picture">
                      <pic:pic xmlns:pic="http://schemas.openxmlformats.org/drawingml/2006/picture">
                        <pic:nvPicPr>
                          <pic:cNvPr id="314" name="Line_69_SpCnt_49"/>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69184" behindDoc="0" locked="0" layoutInCell="1" allowOverlap="1">
                  <wp:simplePos x="0" y="0"/>
                  <wp:positionH relativeFrom="column">
                    <wp:posOffset>0</wp:posOffset>
                  </wp:positionH>
                  <wp:positionV relativeFrom="paragraph">
                    <wp:posOffset>0</wp:posOffset>
                  </wp:positionV>
                  <wp:extent cx="635" cy="0"/>
                  <wp:effectExtent l="0" t="0" r="0" b="0"/>
                  <wp:wrapNone/>
                  <wp:docPr id="315" name="Line_63_SpCnt_5"/>
                  <wp:cNvGraphicFramePr/>
                  <a:graphic xmlns:a="http://schemas.openxmlformats.org/drawingml/2006/main">
                    <a:graphicData uri="http://schemas.openxmlformats.org/drawingml/2006/picture">
                      <pic:pic xmlns:pic="http://schemas.openxmlformats.org/drawingml/2006/picture">
                        <pic:nvPicPr>
                          <pic:cNvPr id="315" name="Line_63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70208" behindDoc="0" locked="0" layoutInCell="1" allowOverlap="1">
                  <wp:simplePos x="0" y="0"/>
                  <wp:positionH relativeFrom="column">
                    <wp:posOffset>0</wp:posOffset>
                  </wp:positionH>
                  <wp:positionV relativeFrom="paragraph">
                    <wp:posOffset>0</wp:posOffset>
                  </wp:positionV>
                  <wp:extent cx="635" cy="0"/>
                  <wp:effectExtent l="0" t="0" r="0" b="0"/>
                  <wp:wrapNone/>
                  <wp:docPr id="316" name="Line_48_SpCnt_4"/>
                  <wp:cNvGraphicFramePr/>
                  <a:graphic xmlns:a="http://schemas.openxmlformats.org/drawingml/2006/main">
                    <a:graphicData uri="http://schemas.openxmlformats.org/drawingml/2006/picture">
                      <pic:pic xmlns:pic="http://schemas.openxmlformats.org/drawingml/2006/picture">
                        <pic:nvPicPr>
                          <pic:cNvPr id="316" name="Line_48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71232" behindDoc="0" locked="0" layoutInCell="1" allowOverlap="1">
                  <wp:simplePos x="0" y="0"/>
                  <wp:positionH relativeFrom="column">
                    <wp:posOffset>0</wp:posOffset>
                  </wp:positionH>
                  <wp:positionV relativeFrom="paragraph">
                    <wp:posOffset>0</wp:posOffset>
                  </wp:positionV>
                  <wp:extent cx="635" cy="0"/>
                  <wp:effectExtent l="0" t="0" r="0" b="0"/>
                  <wp:wrapNone/>
                  <wp:docPr id="317" name="Line_54_SpCnt_5"/>
                  <wp:cNvGraphicFramePr/>
                  <a:graphic xmlns:a="http://schemas.openxmlformats.org/drawingml/2006/main">
                    <a:graphicData uri="http://schemas.openxmlformats.org/drawingml/2006/picture">
                      <pic:pic xmlns:pic="http://schemas.openxmlformats.org/drawingml/2006/picture">
                        <pic:nvPicPr>
                          <pic:cNvPr id="317" name="Line_54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72256" behindDoc="0" locked="0" layoutInCell="1" allowOverlap="1">
                  <wp:simplePos x="0" y="0"/>
                  <wp:positionH relativeFrom="column">
                    <wp:posOffset>0</wp:posOffset>
                  </wp:positionH>
                  <wp:positionV relativeFrom="paragraph">
                    <wp:posOffset>0</wp:posOffset>
                  </wp:positionV>
                  <wp:extent cx="635" cy="0"/>
                  <wp:effectExtent l="0" t="0" r="0" b="0"/>
                  <wp:wrapNone/>
                  <wp:docPr id="318" name="Line_40_SpCnt_5"/>
                  <wp:cNvGraphicFramePr/>
                  <a:graphic xmlns:a="http://schemas.openxmlformats.org/drawingml/2006/main">
                    <a:graphicData uri="http://schemas.openxmlformats.org/drawingml/2006/picture">
                      <pic:pic xmlns:pic="http://schemas.openxmlformats.org/drawingml/2006/picture">
                        <pic:nvPicPr>
                          <pic:cNvPr id="318" name="Line_40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73280" behindDoc="0" locked="0" layoutInCell="1" allowOverlap="1">
                  <wp:simplePos x="0" y="0"/>
                  <wp:positionH relativeFrom="column">
                    <wp:posOffset>0</wp:posOffset>
                  </wp:positionH>
                  <wp:positionV relativeFrom="paragraph">
                    <wp:posOffset>0</wp:posOffset>
                  </wp:positionV>
                  <wp:extent cx="635" cy="0"/>
                  <wp:effectExtent l="0" t="0" r="0" b="0"/>
                  <wp:wrapNone/>
                  <wp:docPr id="319" name="Line_52_SpCnt_4"/>
                  <wp:cNvGraphicFramePr/>
                  <a:graphic xmlns:a="http://schemas.openxmlformats.org/drawingml/2006/main">
                    <a:graphicData uri="http://schemas.openxmlformats.org/drawingml/2006/picture">
                      <pic:pic xmlns:pic="http://schemas.openxmlformats.org/drawingml/2006/picture">
                        <pic:nvPicPr>
                          <pic:cNvPr id="319" name="Line_52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74304" behindDoc="0" locked="0" layoutInCell="1" allowOverlap="1">
                  <wp:simplePos x="0" y="0"/>
                  <wp:positionH relativeFrom="column">
                    <wp:posOffset>0</wp:posOffset>
                  </wp:positionH>
                  <wp:positionV relativeFrom="paragraph">
                    <wp:posOffset>0</wp:posOffset>
                  </wp:positionV>
                  <wp:extent cx="635" cy="0"/>
                  <wp:effectExtent l="0" t="0" r="0" b="0"/>
                  <wp:wrapNone/>
                  <wp:docPr id="320" name="Line_32_SpCnt_5"/>
                  <wp:cNvGraphicFramePr/>
                  <a:graphic xmlns:a="http://schemas.openxmlformats.org/drawingml/2006/main">
                    <a:graphicData uri="http://schemas.openxmlformats.org/drawingml/2006/picture">
                      <pic:pic xmlns:pic="http://schemas.openxmlformats.org/drawingml/2006/picture">
                        <pic:nvPicPr>
                          <pic:cNvPr id="320" name="Line_32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75328" behindDoc="0" locked="0" layoutInCell="1" allowOverlap="1">
                  <wp:simplePos x="0" y="0"/>
                  <wp:positionH relativeFrom="column">
                    <wp:posOffset>0</wp:posOffset>
                  </wp:positionH>
                  <wp:positionV relativeFrom="paragraph">
                    <wp:posOffset>0</wp:posOffset>
                  </wp:positionV>
                  <wp:extent cx="635" cy="0"/>
                  <wp:effectExtent l="0" t="0" r="0" b="0"/>
                  <wp:wrapNone/>
                  <wp:docPr id="321" name="Line_57_SpCnt_4"/>
                  <wp:cNvGraphicFramePr/>
                  <a:graphic xmlns:a="http://schemas.openxmlformats.org/drawingml/2006/main">
                    <a:graphicData uri="http://schemas.openxmlformats.org/drawingml/2006/picture">
                      <pic:pic xmlns:pic="http://schemas.openxmlformats.org/drawingml/2006/picture">
                        <pic:nvPicPr>
                          <pic:cNvPr id="321" name="Line_57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76352" behindDoc="0" locked="0" layoutInCell="1" allowOverlap="1">
                  <wp:simplePos x="0" y="0"/>
                  <wp:positionH relativeFrom="column">
                    <wp:posOffset>0</wp:posOffset>
                  </wp:positionH>
                  <wp:positionV relativeFrom="paragraph">
                    <wp:posOffset>0</wp:posOffset>
                  </wp:positionV>
                  <wp:extent cx="635" cy="0"/>
                  <wp:effectExtent l="0" t="0" r="0" b="0"/>
                  <wp:wrapNone/>
                  <wp:docPr id="322" name="Line_24_SpCnt_5"/>
                  <wp:cNvGraphicFramePr/>
                  <a:graphic xmlns:a="http://schemas.openxmlformats.org/drawingml/2006/main">
                    <a:graphicData uri="http://schemas.openxmlformats.org/drawingml/2006/picture">
                      <pic:pic xmlns:pic="http://schemas.openxmlformats.org/drawingml/2006/picture">
                        <pic:nvPicPr>
                          <pic:cNvPr id="322" name="Line_24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77376" behindDoc="0" locked="0" layoutInCell="1" allowOverlap="1">
                  <wp:simplePos x="0" y="0"/>
                  <wp:positionH relativeFrom="column">
                    <wp:posOffset>0</wp:posOffset>
                  </wp:positionH>
                  <wp:positionV relativeFrom="paragraph">
                    <wp:posOffset>0</wp:posOffset>
                  </wp:positionV>
                  <wp:extent cx="635" cy="0"/>
                  <wp:effectExtent l="0" t="0" r="0" b="0"/>
                  <wp:wrapNone/>
                  <wp:docPr id="323" name="Line_45_SpCnt_5"/>
                  <wp:cNvGraphicFramePr/>
                  <a:graphic xmlns:a="http://schemas.openxmlformats.org/drawingml/2006/main">
                    <a:graphicData uri="http://schemas.openxmlformats.org/drawingml/2006/picture">
                      <pic:pic xmlns:pic="http://schemas.openxmlformats.org/drawingml/2006/picture">
                        <pic:nvPicPr>
                          <pic:cNvPr id="323" name="Line_45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78400" behindDoc="0" locked="0" layoutInCell="1" allowOverlap="1">
                  <wp:simplePos x="0" y="0"/>
                  <wp:positionH relativeFrom="column">
                    <wp:posOffset>0</wp:posOffset>
                  </wp:positionH>
                  <wp:positionV relativeFrom="paragraph">
                    <wp:posOffset>0</wp:posOffset>
                  </wp:positionV>
                  <wp:extent cx="635" cy="0"/>
                  <wp:effectExtent l="0" t="0" r="0" b="0"/>
                  <wp:wrapNone/>
                  <wp:docPr id="324" name="Line_16_SpCnt_5"/>
                  <wp:cNvGraphicFramePr/>
                  <a:graphic xmlns:a="http://schemas.openxmlformats.org/drawingml/2006/main">
                    <a:graphicData uri="http://schemas.openxmlformats.org/drawingml/2006/picture">
                      <pic:pic xmlns:pic="http://schemas.openxmlformats.org/drawingml/2006/picture">
                        <pic:nvPicPr>
                          <pic:cNvPr id="324" name="Line_16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79424" behindDoc="0" locked="0" layoutInCell="1" allowOverlap="1">
                  <wp:simplePos x="0" y="0"/>
                  <wp:positionH relativeFrom="column">
                    <wp:posOffset>0</wp:posOffset>
                  </wp:positionH>
                  <wp:positionV relativeFrom="paragraph">
                    <wp:posOffset>0</wp:posOffset>
                  </wp:positionV>
                  <wp:extent cx="635" cy="0"/>
                  <wp:effectExtent l="0" t="0" r="0" b="0"/>
                  <wp:wrapNone/>
                  <wp:docPr id="325" name="Line_47_SpCnt_5"/>
                  <wp:cNvGraphicFramePr/>
                  <a:graphic xmlns:a="http://schemas.openxmlformats.org/drawingml/2006/main">
                    <a:graphicData uri="http://schemas.openxmlformats.org/drawingml/2006/picture">
                      <pic:pic xmlns:pic="http://schemas.openxmlformats.org/drawingml/2006/picture">
                        <pic:nvPicPr>
                          <pic:cNvPr id="325" name="Line_47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80448" behindDoc="0" locked="0" layoutInCell="1" allowOverlap="1">
                  <wp:simplePos x="0" y="0"/>
                  <wp:positionH relativeFrom="column">
                    <wp:posOffset>0</wp:posOffset>
                  </wp:positionH>
                  <wp:positionV relativeFrom="paragraph">
                    <wp:posOffset>0</wp:posOffset>
                  </wp:positionV>
                  <wp:extent cx="635" cy="0"/>
                  <wp:effectExtent l="0" t="0" r="0" b="0"/>
                  <wp:wrapNone/>
                  <wp:docPr id="326" name="Line_34_SpCnt_4"/>
                  <wp:cNvGraphicFramePr/>
                  <a:graphic xmlns:a="http://schemas.openxmlformats.org/drawingml/2006/main">
                    <a:graphicData uri="http://schemas.openxmlformats.org/drawingml/2006/picture">
                      <pic:pic xmlns:pic="http://schemas.openxmlformats.org/drawingml/2006/picture">
                        <pic:nvPicPr>
                          <pic:cNvPr id="326" name="Line_34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81472" behindDoc="0" locked="0" layoutInCell="1" allowOverlap="1">
                  <wp:simplePos x="0" y="0"/>
                  <wp:positionH relativeFrom="column">
                    <wp:posOffset>0</wp:posOffset>
                  </wp:positionH>
                  <wp:positionV relativeFrom="paragraph">
                    <wp:posOffset>0</wp:posOffset>
                  </wp:positionV>
                  <wp:extent cx="635" cy="0"/>
                  <wp:effectExtent l="0" t="0" r="0" b="0"/>
                  <wp:wrapNone/>
                  <wp:docPr id="327" name="Line_37_SpCnt_5"/>
                  <wp:cNvGraphicFramePr/>
                  <a:graphic xmlns:a="http://schemas.openxmlformats.org/drawingml/2006/main">
                    <a:graphicData uri="http://schemas.openxmlformats.org/drawingml/2006/picture">
                      <pic:pic xmlns:pic="http://schemas.openxmlformats.org/drawingml/2006/picture">
                        <pic:nvPicPr>
                          <pic:cNvPr id="327" name="Line_37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82496" behindDoc="0" locked="0" layoutInCell="1" allowOverlap="1">
                  <wp:simplePos x="0" y="0"/>
                  <wp:positionH relativeFrom="column">
                    <wp:posOffset>0</wp:posOffset>
                  </wp:positionH>
                  <wp:positionV relativeFrom="paragraph">
                    <wp:posOffset>0</wp:posOffset>
                  </wp:positionV>
                  <wp:extent cx="635" cy="0"/>
                  <wp:effectExtent l="0" t="0" r="0" b="0"/>
                  <wp:wrapNone/>
                  <wp:docPr id="328" name="Line_58_SpCnt_4"/>
                  <wp:cNvGraphicFramePr/>
                  <a:graphic xmlns:a="http://schemas.openxmlformats.org/drawingml/2006/main">
                    <a:graphicData uri="http://schemas.openxmlformats.org/drawingml/2006/picture">
                      <pic:pic xmlns:pic="http://schemas.openxmlformats.org/drawingml/2006/picture">
                        <pic:nvPicPr>
                          <pic:cNvPr id="328" name="Line_58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83520" behindDoc="0" locked="0" layoutInCell="1" allowOverlap="1">
                  <wp:simplePos x="0" y="0"/>
                  <wp:positionH relativeFrom="column">
                    <wp:posOffset>0</wp:posOffset>
                  </wp:positionH>
                  <wp:positionV relativeFrom="paragraph">
                    <wp:posOffset>0</wp:posOffset>
                  </wp:positionV>
                  <wp:extent cx="635" cy="0"/>
                  <wp:effectExtent l="0" t="0" r="0" b="0"/>
                  <wp:wrapNone/>
                  <wp:docPr id="329" name="Line_18_SpCnt_4"/>
                  <wp:cNvGraphicFramePr/>
                  <a:graphic xmlns:a="http://schemas.openxmlformats.org/drawingml/2006/main">
                    <a:graphicData uri="http://schemas.openxmlformats.org/drawingml/2006/picture">
                      <pic:pic xmlns:pic="http://schemas.openxmlformats.org/drawingml/2006/picture">
                        <pic:nvPicPr>
                          <pic:cNvPr id="329" name="Line_18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84544" behindDoc="0" locked="0" layoutInCell="1" allowOverlap="1">
                  <wp:simplePos x="0" y="0"/>
                  <wp:positionH relativeFrom="column">
                    <wp:posOffset>0</wp:posOffset>
                  </wp:positionH>
                  <wp:positionV relativeFrom="paragraph">
                    <wp:posOffset>0</wp:posOffset>
                  </wp:positionV>
                  <wp:extent cx="635" cy="0"/>
                  <wp:effectExtent l="0" t="0" r="0" b="0"/>
                  <wp:wrapNone/>
                  <wp:docPr id="330" name="Line_58_SpCnt_5"/>
                  <wp:cNvGraphicFramePr/>
                  <a:graphic xmlns:a="http://schemas.openxmlformats.org/drawingml/2006/main">
                    <a:graphicData uri="http://schemas.openxmlformats.org/drawingml/2006/picture">
                      <pic:pic xmlns:pic="http://schemas.openxmlformats.org/drawingml/2006/picture">
                        <pic:nvPicPr>
                          <pic:cNvPr id="330" name="Line_58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85568" behindDoc="0" locked="0" layoutInCell="1" allowOverlap="1">
                  <wp:simplePos x="0" y="0"/>
                  <wp:positionH relativeFrom="column">
                    <wp:posOffset>0</wp:posOffset>
                  </wp:positionH>
                  <wp:positionV relativeFrom="paragraph">
                    <wp:posOffset>0</wp:posOffset>
                  </wp:positionV>
                  <wp:extent cx="635" cy="0"/>
                  <wp:effectExtent l="0" t="0" r="0" b="0"/>
                  <wp:wrapNone/>
                  <wp:docPr id="331" name="Line_42_SpCnt_5"/>
                  <wp:cNvGraphicFramePr/>
                  <a:graphic xmlns:a="http://schemas.openxmlformats.org/drawingml/2006/main">
                    <a:graphicData uri="http://schemas.openxmlformats.org/drawingml/2006/picture">
                      <pic:pic xmlns:pic="http://schemas.openxmlformats.org/drawingml/2006/picture">
                        <pic:nvPicPr>
                          <pic:cNvPr id="331" name="Line_42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86592" behindDoc="0" locked="0" layoutInCell="1" allowOverlap="1">
                  <wp:simplePos x="0" y="0"/>
                  <wp:positionH relativeFrom="column">
                    <wp:posOffset>0</wp:posOffset>
                  </wp:positionH>
                  <wp:positionV relativeFrom="paragraph">
                    <wp:posOffset>0</wp:posOffset>
                  </wp:positionV>
                  <wp:extent cx="635" cy="0"/>
                  <wp:effectExtent l="0" t="0" r="0" b="0"/>
                  <wp:wrapNone/>
                  <wp:docPr id="332" name="Line_39_SpCnt_5"/>
                  <wp:cNvGraphicFramePr/>
                  <a:graphic xmlns:a="http://schemas.openxmlformats.org/drawingml/2006/main">
                    <a:graphicData uri="http://schemas.openxmlformats.org/drawingml/2006/picture">
                      <pic:pic xmlns:pic="http://schemas.openxmlformats.org/drawingml/2006/picture">
                        <pic:nvPicPr>
                          <pic:cNvPr id="332" name="Line_39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87616" behindDoc="0" locked="0" layoutInCell="1" allowOverlap="1">
                  <wp:simplePos x="0" y="0"/>
                  <wp:positionH relativeFrom="column">
                    <wp:posOffset>0</wp:posOffset>
                  </wp:positionH>
                  <wp:positionV relativeFrom="paragraph">
                    <wp:posOffset>0</wp:posOffset>
                  </wp:positionV>
                  <wp:extent cx="635" cy="0"/>
                  <wp:effectExtent l="0" t="0" r="0" b="0"/>
                  <wp:wrapNone/>
                  <wp:docPr id="333" name="Line_26_SpCnt_4"/>
                  <wp:cNvGraphicFramePr/>
                  <a:graphic xmlns:a="http://schemas.openxmlformats.org/drawingml/2006/main">
                    <a:graphicData uri="http://schemas.openxmlformats.org/drawingml/2006/picture">
                      <pic:pic xmlns:pic="http://schemas.openxmlformats.org/drawingml/2006/picture">
                        <pic:nvPicPr>
                          <pic:cNvPr id="333" name="Line_26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88640" behindDoc="0" locked="0" layoutInCell="1" allowOverlap="1">
                  <wp:simplePos x="0" y="0"/>
                  <wp:positionH relativeFrom="column">
                    <wp:posOffset>0</wp:posOffset>
                  </wp:positionH>
                  <wp:positionV relativeFrom="paragraph">
                    <wp:posOffset>0</wp:posOffset>
                  </wp:positionV>
                  <wp:extent cx="635" cy="0"/>
                  <wp:effectExtent l="0" t="0" r="0" b="0"/>
                  <wp:wrapNone/>
                  <wp:docPr id="334" name="Line_62_SpCnt_5"/>
                  <wp:cNvGraphicFramePr/>
                  <a:graphic xmlns:a="http://schemas.openxmlformats.org/drawingml/2006/main">
                    <a:graphicData uri="http://schemas.openxmlformats.org/drawingml/2006/picture">
                      <pic:pic xmlns:pic="http://schemas.openxmlformats.org/drawingml/2006/picture">
                        <pic:nvPicPr>
                          <pic:cNvPr id="334" name="Line_62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89664" behindDoc="0" locked="0" layoutInCell="1" allowOverlap="1">
                  <wp:simplePos x="0" y="0"/>
                  <wp:positionH relativeFrom="column">
                    <wp:posOffset>0</wp:posOffset>
                  </wp:positionH>
                  <wp:positionV relativeFrom="paragraph">
                    <wp:posOffset>0</wp:posOffset>
                  </wp:positionV>
                  <wp:extent cx="635" cy="0"/>
                  <wp:effectExtent l="0" t="0" r="0" b="0"/>
                  <wp:wrapNone/>
                  <wp:docPr id="335" name="Line_68_SpCnt_4"/>
                  <wp:cNvGraphicFramePr/>
                  <a:graphic xmlns:a="http://schemas.openxmlformats.org/drawingml/2006/main">
                    <a:graphicData uri="http://schemas.openxmlformats.org/drawingml/2006/picture">
                      <pic:pic xmlns:pic="http://schemas.openxmlformats.org/drawingml/2006/picture">
                        <pic:nvPicPr>
                          <pic:cNvPr id="335" name="Line_68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90688" behindDoc="0" locked="0" layoutInCell="1" allowOverlap="1">
                  <wp:simplePos x="0" y="0"/>
                  <wp:positionH relativeFrom="column">
                    <wp:posOffset>0</wp:posOffset>
                  </wp:positionH>
                  <wp:positionV relativeFrom="paragraph">
                    <wp:posOffset>0</wp:posOffset>
                  </wp:positionV>
                  <wp:extent cx="635" cy="0"/>
                  <wp:effectExtent l="0" t="0" r="0" b="0"/>
                  <wp:wrapNone/>
                  <wp:docPr id="336" name="Line_64_SpCnt_4"/>
                  <wp:cNvGraphicFramePr/>
                  <a:graphic xmlns:a="http://schemas.openxmlformats.org/drawingml/2006/main">
                    <a:graphicData uri="http://schemas.openxmlformats.org/drawingml/2006/picture">
                      <pic:pic xmlns:pic="http://schemas.openxmlformats.org/drawingml/2006/picture">
                        <pic:nvPicPr>
                          <pic:cNvPr id="336" name="Line_64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91712" behindDoc="0" locked="0" layoutInCell="1" allowOverlap="1">
                  <wp:simplePos x="0" y="0"/>
                  <wp:positionH relativeFrom="column">
                    <wp:posOffset>0</wp:posOffset>
                  </wp:positionH>
                  <wp:positionV relativeFrom="paragraph">
                    <wp:posOffset>0</wp:posOffset>
                  </wp:positionV>
                  <wp:extent cx="635" cy="0"/>
                  <wp:effectExtent l="0" t="0" r="0" b="0"/>
                  <wp:wrapNone/>
                  <wp:docPr id="337" name="Line_52_SpCnt_5"/>
                  <wp:cNvGraphicFramePr/>
                  <a:graphic xmlns:a="http://schemas.openxmlformats.org/drawingml/2006/main">
                    <a:graphicData uri="http://schemas.openxmlformats.org/drawingml/2006/picture">
                      <pic:pic xmlns:pic="http://schemas.openxmlformats.org/drawingml/2006/picture">
                        <pic:nvPicPr>
                          <pic:cNvPr id="337" name="Line_52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92736" behindDoc="0" locked="0" layoutInCell="1" allowOverlap="1">
                  <wp:simplePos x="0" y="0"/>
                  <wp:positionH relativeFrom="column">
                    <wp:posOffset>0</wp:posOffset>
                  </wp:positionH>
                  <wp:positionV relativeFrom="paragraph">
                    <wp:posOffset>0</wp:posOffset>
                  </wp:positionV>
                  <wp:extent cx="635" cy="0"/>
                  <wp:effectExtent l="0" t="0" r="0" b="0"/>
                  <wp:wrapNone/>
                  <wp:docPr id="338" name="Line_56_SpCnt_5"/>
                  <wp:cNvGraphicFramePr/>
                  <a:graphic xmlns:a="http://schemas.openxmlformats.org/drawingml/2006/main">
                    <a:graphicData uri="http://schemas.openxmlformats.org/drawingml/2006/picture">
                      <pic:pic xmlns:pic="http://schemas.openxmlformats.org/drawingml/2006/picture">
                        <pic:nvPicPr>
                          <pic:cNvPr id="338" name="Line_56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93760" behindDoc="0" locked="0" layoutInCell="1" allowOverlap="1">
                  <wp:simplePos x="0" y="0"/>
                  <wp:positionH relativeFrom="column">
                    <wp:posOffset>0</wp:posOffset>
                  </wp:positionH>
                  <wp:positionV relativeFrom="paragraph">
                    <wp:posOffset>0</wp:posOffset>
                  </wp:positionV>
                  <wp:extent cx="635" cy="0"/>
                  <wp:effectExtent l="0" t="0" r="0" b="0"/>
                  <wp:wrapNone/>
                  <wp:docPr id="339" name="Line_36_SpCnt_5"/>
                  <wp:cNvGraphicFramePr/>
                  <a:graphic xmlns:a="http://schemas.openxmlformats.org/drawingml/2006/main">
                    <a:graphicData uri="http://schemas.openxmlformats.org/drawingml/2006/picture">
                      <pic:pic xmlns:pic="http://schemas.openxmlformats.org/drawingml/2006/picture">
                        <pic:nvPicPr>
                          <pic:cNvPr id="339" name="Line_36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94784" behindDoc="0" locked="0" layoutInCell="1" allowOverlap="1">
                  <wp:simplePos x="0" y="0"/>
                  <wp:positionH relativeFrom="column">
                    <wp:posOffset>0</wp:posOffset>
                  </wp:positionH>
                  <wp:positionV relativeFrom="paragraph">
                    <wp:posOffset>0</wp:posOffset>
                  </wp:positionV>
                  <wp:extent cx="635" cy="0"/>
                  <wp:effectExtent l="0" t="0" r="0" b="0"/>
                  <wp:wrapNone/>
                  <wp:docPr id="340" name="Line_23_SpCnt_5"/>
                  <wp:cNvGraphicFramePr/>
                  <a:graphic xmlns:a="http://schemas.openxmlformats.org/drawingml/2006/main">
                    <a:graphicData uri="http://schemas.openxmlformats.org/drawingml/2006/picture">
                      <pic:pic xmlns:pic="http://schemas.openxmlformats.org/drawingml/2006/picture">
                        <pic:nvPicPr>
                          <pic:cNvPr id="340" name="Line_23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95808" behindDoc="0" locked="0" layoutInCell="1" allowOverlap="1">
                  <wp:simplePos x="0" y="0"/>
                  <wp:positionH relativeFrom="column">
                    <wp:posOffset>0</wp:posOffset>
                  </wp:positionH>
                  <wp:positionV relativeFrom="paragraph">
                    <wp:posOffset>0</wp:posOffset>
                  </wp:positionV>
                  <wp:extent cx="635" cy="0"/>
                  <wp:effectExtent l="0" t="0" r="0" b="0"/>
                  <wp:wrapNone/>
                  <wp:docPr id="341" name="Line_20_SpCnt_5"/>
                  <wp:cNvGraphicFramePr/>
                  <a:graphic xmlns:a="http://schemas.openxmlformats.org/drawingml/2006/main">
                    <a:graphicData uri="http://schemas.openxmlformats.org/drawingml/2006/picture">
                      <pic:pic xmlns:pic="http://schemas.openxmlformats.org/drawingml/2006/picture">
                        <pic:nvPicPr>
                          <pic:cNvPr id="341" name="Line_20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96832" behindDoc="0" locked="0" layoutInCell="1" allowOverlap="1">
                  <wp:simplePos x="0" y="0"/>
                  <wp:positionH relativeFrom="column">
                    <wp:posOffset>0</wp:posOffset>
                  </wp:positionH>
                  <wp:positionV relativeFrom="paragraph">
                    <wp:posOffset>0</wp:posOffset>
                  </wp:positionV>
                  <wp:extent cx="635" cy="0"/>
                  <wp:effectExtent l="0" t="0" r="0" b="0"/>
                  <wp:wrapNone/>
                  <wp:docPr id="342" name="Line_61_SpCnt_5"/>
                  <wp:cNvGraphicFramePr/>
                  <a:graphic xmlns:a="http://schemas.openxmlformats.org/drawingml/2006/main">
                    <a:graphicData uri="http://schemas.openxmlformats.org/drawingml/2006/picture">
                      <pic:pic xmlns:pic="http://schemas.openxmlformats.org/drawingml/2006/picture">
                        <pic:nvPicPr>
                          <pic:cNvPr id="342" name="Line_61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97856" behindDoc="0" locked="0" layoutInCell="1" allowOverlap="1">
                  <wp:simplePos x="0" y="0"/>
                  <wp:positionH relativeFrom="column">
                    <wp:posOffset>0</wp:posOffset>
                  </wp:positionH>
                  <wp:positionV relativeFrom="paragraph">
                    <wp:posOffset>0</wp:posOffset>
                  </wp:positionV>
                  <wp:extent cx="635" cy="0"/>
                  <wp:effectExtent l="0" t="0" r="0" b="0"/>
                  <wp:wrapNone/>
                  <wp:docPr id="343" name="Line_50_SpCnt_5"/>
                  <wp:cNvGraphicFramePr/>
                  <a:graphic xmlns:a="http://schemas.openxmlformats.org/drawingml/2006/main">
                    <a:graphicData uri="http://schemas.openxmlformats.org/drawingml/2006/picture">
                      <pic:pic xmlns:pic="http://schemas.openxmlformats.org/drawingml/2006/picture">
                        <pic:nvPicPr>
                          <pic:cNvPr id="343" name="Line_50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98880" behindDoc="0" locked="0" layoutInCell="1" allowOverlap="1">
                  <wp:simplePos x="0" y="0"/>
                  <wp:positionH relativeFrom="column">
                    <wp:posOffset>0</wp:posOffset>
                  </wp:positionH>
                  <wp:positionV relativeFrom="paragraph">
                    <wp:posOffset>0</wp:posOffset>
                  </wp:positionV>
                  <wp:extent cx="635" cy="0"/>
                  <wp:effectExtent l="0" t="0" r="0" b="0"/>
                  <wp:wrapNone/>
                  <wp:docPr id="344" name="Line_26_SpCnt_5"/>
                  <wp:cNvGraphicFramePr/>
                  <a:graphic xmlns:a="http://schemas.openxmlformats.org/drawingml/2006/main">
                    <a:graphicData uri="http://schemas.openxmlformats.org/drawingml/2006/picture">
                      <pic:pic xmlns:pic="http://schemas.openxmlformats.org/drawingml/2006/picture">
                        <pic:nvPicPr>
                          <pic:cNvPr id="344" name="Line_26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99904" behindDoc="0" locked="0" layoutInCell="1" allowOverlap="1">
                  <wp:simplePos x="0" y="0"/>
                  <wp:positionH relativeFrom="column">
                    <wp:posOffset>0</wp:posOffset>
                  </wp:positionH>
                  <wp:positionV relativeFrom="paragraph">
                    <wp:posOffset>0</wp:posOffset>
                  </wp:positionV>
                  <wp:extent cx="635" cy="0"/>
                  <wp:effectExtent l="0" t="0" r="0" b="0"/>
                  <wp:wrapNone/>
                  <wp:docPr id="345" name="Line_43_SpCnt_5"/>
                  <wp:cNvGraphicFramePr/>
                  <a:graphic xmlns:a="http://schemas.openxmlformats.org/drawingml/2006/main">
                    <a:graphicData uri="http://schemas.openxmlformats.org/drawingml/2006/picture">
                      <pic:pic xmlns:pic="http://schemas.openxmlformats.org/drawingml/2006/picture">
                        <pic:nvPicPr>
                          <pic:cNvPr id="345" name="Line_43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900928" behindDoc="0" locked="0" layoutInCell="1" allowOverlap="1">
                  <wp:simplePos x="0" y="0"/>
                  <wp:positionH relativeFrom="column">
                    <wp:posOffset>0</wp:posOffset>
                  </wp:positionH>
                  <wp:positionV relativeFrom="paragraph">
                    <wp:posOffset>0</wp:posOffset>
                  </wp:positionV>
                  <wp:extent cx="635" cy="0"/>
                  <wp:effectExtent l="0" t="0" r="0" b="0"/>
                  <wp:wrapNone/>
                  <wp:docPr id="346" name="Line_18_SpCnt_5"/>
                  <wp:cNvGraphicFramePr/>
                  <a:graphic xmlns:a="http://schemas.openxmlformats.org/drawingml/2006/main">
                    <a:graphicData uri="http://schemas.openxmlformats.org/drawingml/2006/picture">
                      <pic:pic xmlns:pic="http://schemas.openxmlformats.org/drawingml/2006/picture">
                        <pic:nvPicPr>
                          <pic:cNvPr id="346" name="Line_18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901952" behindDoc="0" locked="0" layoutInCell="1" allowOverlap="1">
                  <wp:simplePos x="0" y="0"/>
                  <wp:positionH relativeFrom="column">
                    <wp:posOffset>0</wp:posOffset>
                  </wp:positionH>
                  <wp:positionV relativeFrom="paragraph">
                    <wp:posOffset>0</wp:posOffset>
                  </wp:positionV>
                  <wp:extent cx="635" cy="0"/>
                  <wp:effectExtent l="0" t="0" r="0" b="0"/>
                  <wp:wrapNone/>
                  <wp:docPr id="347" name="Line_69_SpCnt_50"/>
                  <wp:cNvGraphicFramePr/>
                  <a:graphic xmlns:a="http://schemas.openxmlformats.org/drawingml/2006/main">
                    <a:graphicData uri="http://schemas.openxmlformats.org/drawingml/2006/picture">
                      <pic:pic xmlns:pic="http://schemas.openxmlformats.org/drawingml/2006/picture">
                        <pic:nvPicPr>
                          <pic:cNvPr id="347" name="Line_69_SpCnt_50"/>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902976" behindDoc="0" locked="0" layoutInCell="1" allowOverlap="1">
                  <wp:simplePos x="0" y="0"/>
                  <wp:positionH relativeFrom="column">
                    <wp:posOffset>0</wp:posOffset>
                  </wp:positionH>
                  <wp:positionV relativeFrom="paragraph">
                    <wp:posOffset>0</wp:posOffset>
                  </wp:positionV>
                  <wp:extent cx="635" cy="0"/>
                  <wp:effectExtent l="0" t="0" r="0" b="0"/>
                  <wp:wrapNone/>
                  <wp:docPr id="348" name="Line_44_SpCnt_5"/>
                  <wp:cNvGraphicFramePr/>
                  <a:graphic xmlns:a="http://schemas.openxmlformats.org/drawingml/2006/main">
                    <a:graphicData uri="http://schemas.openxmlformats.org/drawingml/2006/picture">
                      <pic:pic xmlns:pic="http://schemas.openxmlformats.org/drawingml/2006/picture">
                        <pic:nvPicPr>
                          <pic:cNvPr id="348" name="Line_44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904000" behindDoc="0" locked="0" layoutInCell="1" allowOverlap="1">
                  <wp:simplePos x="0" y="0"/>
                  <wp:positionH relativeFrom="column">
                    <wp:posOffset>0</wp:posOffset>
                  </wp:positionH>
                  <wp:positionV relativeFrom="paragraph">
                    <wp:posOffset>0</wp:posOffset>
                  </wp:positionV>
                  <wp:extent cx="635" cy="0"/>
                  <wp:effectExtent l="0" t="0" r="0" b="0"/>
                  <wp:wrapNone/>
                  <wp:docPr id="349" name="Line_48_SpCnt_5"/>
                  <wp:cNvGraphicFramePr/>
                  <a:graphic xmlns:a="http://schemas.openxmlformats.org/drawingml/2006/main">
                    <a:graphicData uri="http://schemas.openxmlformats.org/drawingml/2006/picture">
                      <pic:pic xmlns:pic="http://schemas.openxmlformats.org/drawingml/2006/picture">
                        <pic:nvPicPr>
                          <pic:cNvPr id="349" name="Line_48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905024" behindDoc="0" locked="0" layoutInCell="1" allowOverlap="1">
                  <wp:simplePos x="0" y="0"/>
                  <wp:positionH relativeFrom="column">
                    <wp:posOffset>0</wp:posOffset>
                  </wp:positionH>
                  <wp:positionV relativeFrom="paragraph">
                    <wp:posOffset>0</wp:posOffset>
                  </wp:positionV>
                  <wp:extent cx="635" cy="0"/>
                  <wp:effectExtent l="0" t="0" r="0" b="0"/>
                  <wp:wrapNone/>
                  <wp:docPr id="350" name="Line_34_SpCnt_5"/>
                  <wp:cNvGraphicFramePr/>
                  <a:graphic xmlns:a="http://schemas.openxmlformats.org/drawingml/2006/main">
                    <a:graphicData uri="http://schemas.openxmlformats.org/drawingml/2006/picture">
                      <pic:pic xmlns:pic="http://schemas.openxmlformats.org/drawingml/2006/picture">
                        <pic:nvPicPr>
                          <pic:cNvPr id="350" name="Line_34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906048" behindDoc="0" locked="0" layoutInCell="1" allowOverlap="1">
                  <wp:simplePos x="0" y="0"/>
                  <wp:positionH relativeFrom="column">
                    <wp:posOffset>0</wp:posOffset>
                  </wp:positionH>
                  <wp:positionV relativeFrom="paragraph">
                    <wp:posOffset>0</wp:posOffset>
                  </wp:positionV>
                  <wp:extent cx="635" cy="0"/>
                  <wp:effectExtent l="0" t="0" r="0" b="0"/>
                  <wp:wrapNone/>
                  <wp:docPr id="351" name="Line_41_SpCnt_5"/>
                  <wp:cNvGraphicFramePr/>
                  <a:graphic xmlns:a="http://schemas.openxmlformats.org/drawingml/2006/main">
                    <a:graphicData uri="http://schemas.openxmlformats.org/drawingml/2006/picture">
                      <pic:pic xmlns:pic="http://schemas.openxmlformats.org/drawingml/2006/picture">
                        <pic:nvPicPr>
                          <pic:cNvPr id="351" name="Line_41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907072" behindDoc="0" locked="0" layoutInCell="1" allowOverlap="1">
                  <wp:simplePos x="0" y="0"/>
                  <wp:positionH relativeFrom="column">
                    <wp:posOffset>0</wp:posOffset>
                  </wp:positionH>
                  <wp:positionV relativeFrom="paragraph">
                    <wp:posOffset>0</wp:posOffset>
                  </wp:positionV>
                  <wp:extent cx="635" cy="0"/>
                  <wp:effectExtent l="0" t="0" r="0" b="0"/>
                  <wp:wrapNone/>
                  <wp:docPr id="352" name="Line_57_SpCnt_5"/>
                  <wp:cNvGraphicFramePr/>
                  <a:graphic xmlns:a="http://schemas.openxmlformats.org/drawingml/2006/main">
                    <a:graphicData uri="http://schemas.openxmlformats.org/drawingml/2006/picture">
                      <pic:pic xmlns:pic="http://schemas.openxmlformats.org/drawingml/2006/picture">
                        <pic:nvPicPr>
                          <pic:cNvPr id="352" name="Line_57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908096" behindDoc="0" locked="0" layoutInCell="1" allowOverlap="1">
                  <wp:simplePos x="0" y="0"/>
                  <wp:positionH relativeFrom="column">
                    <wp:posOffset>0</wp:posOffset>
                  </wp:positionH>
                  <wp:positionV relativeFrom="paragraph">
                    <wp:posOffset>0</wp:posOffset>
                  </wp:positionV>
                  <wp:extent cx="635" cy="0"/>
                  <wp:effectExtent l="0" t="0" r="0" b="0"/>
                  <wp:wrapNone/>
                  <wp:docPr id="353" name="Line_60_SpCnt_5"/>
                  <wp:cNvGraphicFramePr/>
                  <a:graphic xmlns:a="http://schemas.openxmlformats.org/drawingml/2006/main">
                    <a:graphicData uri="http://schemas.openxmlformats.org/drawingml/2006/picture">
                      <pic:pic xmlns:pic="http://schemas.openxmlformats.org/drawingml/2006/picture">
                        <pic:nvPicPr>
                          <pic:cNvPr id="353" name="Line_60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909120" behindDoc="0" locked="0" layoutInCell="1" allowOverlap="1">
                  <wp:simplePos x="0" y="0"/>
                  <wp:positionH relativeFrom="column">
                    <wp:posOffset>0</wp:posOffset>
                  </wp:positionH>
                  <wp:positionV relativeFrom="paragraph">
                    <wp:posOffset>0</wp:posOffset>
                  </wp:positionV>
                  <wp:extent cx="635" cy="0"/>
                  <wp:effectExtent l="0" t="0" r="0" b="0"/>
                  <wp:wrapNone/>
                  <wp:docPr id="354" name="Line_28_SpCnt_5"/>
                  <wp:cNvGraphicFramePr/>
                  <a:graphic xmlns:a="http://schemas.openxmlformats.org/drawingml/2006/main">
                    <a:graphicData uri="http://schemas.openxmlformats.org/drawingml/2006/picture">
                      <pic:pic xmlns:pic="http://schemas.openxmlformats.org/drawingml/2006/picture">
                        <pic:nvPicPr>
                          <pic:cNvPr id="354" name="Line_28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t>合计</w:t>
            </w:r>
          </w:p>
        </w:tc>
        <w:tc>
          <w:tcPr>
            <w:tcW w:w="174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default" w:ascii="宋体" w:hAnsi="宋体" w:cs="宋体"/>
                <w:bCs/>
                <w:color w:val="auto"/>
                <w:sz w:val="24"/>
                <w:highlight w:val="none"/>
                <w:lang w:val="en-US" w:eastAsia="zh-CN"/>
              </w:rPr>
            </w:pPr>
            <w:r>
              <w:rPr>
                <w:rFonts w:hint="eastAsia" w:asciiTheme="minorEastAsia" w:hAnsiTheme="minorEastAsia" w:eastAsiaTheme="minorEastAsia" w:cstheme="minorEastAsia"/>
                <w:color w:val="auto"/>
                <w:kern w:val="0"/>
                <w:sz w:val="24"/>
                <w:lang w:val="en-US" w:eastAsia="zh-CN"/>
              </w:rPr>
              <w:t>42</w:t>
            </w:r>
          </w:p>
        </w:tc>
        <w:tc>
          <w:tcPr>
            <w:tcW w:w="10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default" w:asciiTheme="minorEastAsia" w:hAnsiTheme="minorEastAsia" w:eastAsiaTheme="minorEastAsia" w:cstheme="minorEastAsia"/>
                <w:color w:val="auto"/>
                <w:kern w:val="0"/>
                <w:sz w:val="24"/>
                <w:lang w:val="en-US" w:eastAsia="zh-CN"/>
              </w:rPr>
            </w:pPr>
            <w:r>
              <w:rPr>
                <w:rFonts w:hint="eastAsia" w:ascii="宋体" w:hAnsi="宋体" w:cs="宋体"/>
                <w:bCs/>
                <w:color w:val="auto"/>
                <w:sz w:val="24"/>
                <w:highlight w:val="none"/>
                <w:lang w:val="en-US" w:eastAsia="zh-CN"/>
              </w:rPr>
              <w:t xml:space="preserve"> 298</w:t>
            </w:r>
          </w:p>
        </w:tc>
        <w:tc>
          <w:tcPr>
            <w:tcW w:w="11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default" w:asciiTheme="minorEastAsia" w:hAnsiTheme="minorEastAsia" w:eastAsiaTheme="minorEastAsia" w:cstheme="minorEastAsia"/>
                <w:color w:val="auto"/>
                <w:kern w:val="0"/>
                <w:sz w:val="24"/>
                <w:lang w:val="en-US" w:eastAsia="zh-CN"/>
              </w:rPr>
            </w:pPr>
            <w:r>
              <w:rPr>
                <w:rFonts w:hint="eastAsia" w:ascii="宋体" w:hAnsi="宋体" w:cs="宋体"/>
                <w:bCs/>
                <w:color w:val="auto"/>
                <w:sz w:val="24"/>
                <w:highlight w:val="none"/>
                <w:lang w:val="en-US" w:eastAsia="zh-CN"/>
              </w:rPr>
              <w:t>298</w:t>
            </w:r>
          </w:p>
        </w:tc>
      </w:tr>
    </w:tbl>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cs="宋体"/>
          <w:bCs/>
          <w:color w:val="auto"/>
          <w:sz w:val="24"/>
          <w:highlight w:val="none"/>
        </w:rPr>
        <w:t>1.</w:t>
      </w:r>
      <w:r>
        <w:rPr>
          <w:rFonts w:hint="eastAsia" w:ascii="宋体" w:hAnsi="宋体" w:cs="宋体"/>
          <w:bCs/>
          <w:color w:val="auto"/>
          <w:sz w:val="24"/>
          <w:highlight w:val="none"/>
          <w:lang w:val="en-US" w:eastAsia="zh-CN"/>
        </w:rPr>
        <w:t>8</w:t>
      </w:r>
      <w:r>
        <w:rPr>
          <w:rFonts w:hint="eastAsia" w:ascii="宋体" w:hAnsi="宋体" w:cs="宋体"/>
          <w:bCs/>
          <w:color w:val="auto"/>
          <w:sz w:val="24"/>
          <w:highlight w:val="none"/>
        </w:rPr>
        <w:t>合同履行期限（交货期）</w:t>
      </w:r>
      <w:r>
        <w:rPr>
          <w:rFonts w:hint="eastAsia" w:ascii="宋体" w:hAnsi="宋体" w:cs="宋体"/>
          <w:bCs/>
          <w:color w:val="auto"/>
          <w:sz w:val="24"/>
          <w:highlight w:val="none"/>
          <w:lang w:eastAsia="zh-CN"/>
        </w:rPr>
        <w:t>：</w:t>
      </w:r>
      <w:r>
        <w:rPr>
          <w:rFonts w:hint="eastAsia" w:ascii="宋体" w:hAnsi="宋体" w:cs="宋体"/>
          <w:bCs/>
          <w:color w:val="auto"/>
          <w:sz w:val="24"/>
          <w:highlight w:val="none"/>
        </w:rPr>
        <w:t>合同签订后四个月内履行完毕</w:t>
      </w:r>
      <w:r>
        <w:rPr>
          <w:rFonts w:hint="eastAsia" w:ascii="宋体" w:hAnsi="宋体" w:cs="宋体"/>
          <w:bCs/>
          <w:color w:val="auto"/>
          <w:sz w:val="24"/>
          <w:highlight w:val="none"/>
          <w:lang w:eastAsia="zh-CN"/>
        </w:rPr>
        <w:t>；</w:t>
      </w:r>
    </w:p>
    <w:p>
      <w:pPr>
        <w:widowControl/>
        <w:spacing w:line="360" w:lineRule="auto"/>
        <w:jc w:val="left"/>
        <w:rPr>
          <w:rFonts w:hint="default" w:ascii="宋体" w:hAnsi="宋体" w:cs="宋体"/>
          <w:bCs/>
          <w:color w:val="auto"/>
          <w:sz w:val="24"/>
          <w:highlight w:val="none"/>
          <w:lang w:val="en-US" w:eastAsia="zh-CN"/>
        </w:rPr>
      </w:pPr>
      <w:r>
        <w:rPr>
          <w:rFonts w:hint="eastAsia" w:ascii="宋体" w:hAnsi="宋体" w:cs="宋体"/>
          <w:bCs/>
          <w:color w:val="auto"/>
          <w:sz w:val="24"/>
          <w:highlight w:val="none"/>
          <w:lang w:val="en-US" w:eastAsia="zh-CN"/>
        </w:rPr>
        <w:t>1.9本项目不接受联合体投标。</w:t>
      </w:r>
    </w:p>
    <w:p>
      <w:pPr>
        <w:widowControl/>
        <w:spacing w:line="360" w:lineRule="auto"/>
        <w:jc w:val="left"/>
        <w:rPr>
          <w:rFonts w:hint="eastAsia" w:ascii="宋体" w:hAnsi="宋体" w:cs="宋体"/>
          <w:bCs/>
          <w:color w:val="auto"/>
          <w:sz w:val="24"/>
          <w:highlight w:val="none"/>
          <w:lang w:val="en-US" w:eastAsia="zh-CN"/>
        </w:rPr>
      </w:pPr>
      <w:bookmarkStart w:id="10" w:name="_Toc28359003"/>
      <w:bookmarkStart w:id="11" w:name="_Toc28359080"/>
      <w:bookmarkStart w:id="12" w:name="_Toc35393622"/>
      <w:bookmarkStart w:id="13" w:name="_Toc35393791"/>
      <w:r>
        <w:rPr>
          <w:rFonts w:hint="eastAsia" w:ascii="宋体" w:hAnsi="宋体" w:cs="宋体"/>
          <w:bCs/>
          <w:color w:val="auto"/>
          <w:sz w:val="24"/>
          <w:highlight w:val="none"/>
          <w:lang w:val="en-US" w:eastAsia="zh-CN"/>
        </w:rPr>
        <w:t>二、申请人的资格要求：</w:t>
      </w:r>
      <w:bookmarkEnd w:id="10"/>
      <w:bookmarkEnd w:id="11"/>
      <w:bookmarkEnd w:id="12"/>
      <w:bookmarkEnd w:id="13"/>
      <w:bookmarkStart w:id="14" w:name="_Toc28359081"/>
      <w:bookmarkStart w:id="15" w:name="_Toc28359004"/>
    </w:p>
    <w:p>
      <w:pPr>
        <w:widowControl/>
        <w:spacing w:line="360" w:lineRule="auto"/>
        <w:jc w:val="left"/>
        <w:rPr>
          <w:rFonts w:ascii="宋体" w:hAnsi="宋体" w:cs="宋体"/>
          <w:bCs/>
          <w:color w:val="auto"/>
          <w:sz w:val="24"/>
          <w:highlight w:val="none"/>
        </w:rPr>
      </w:pPr>
      <w:r>
        <w:rPr>
          <w:rFonts w:hint="eastAsia" w:ascii="宋体" w:hAnsi="宋体" w:cs="宋体"/>
          <w:bCs/>
          <w:color w:val="auto"/>
          <w:sz w:val="24"/>
          <w:highlight w:val="none"/>
        </w:rPr>
        <w:t>2.1.满足《中华人民共和国政府采购法》第二十二条规定：</w:t>
      </w:r>
    </w:p>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cs="宋体"/>
          <w:bCs/>
          <w:color w:val="auto"/>
          <w:sz w:val="24"/>
          <w:highlight w:val="none"/>
        </w:rPr>
        <w:t>1）具有独立承担民事责任的能力；</w:t>
      </w:r>
    </w:p>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cs="宋体"/>
          <w:bCs/>
          <w:color w:val="auto"/>
          <w:sz w:val="24"/>
          <w:highlight w:val="none"/>
        </w:rPr>
        <w:t>2）具有良好的商业信誉和健全的财务会计制度{</w:t>
      </w:r>
      <w:r>
        <w:rPr>
          <w:rFonts w:hint="eastAsia" w:ascii="宋体" w:hAnsi="宋体" w:cs="宋体"/>
          <w:color w:val="auto"/>
          <w:sz w:val="24"/>
          <w:highlight w:val="none"/>
          <w:lang w:eastAsia="zh-CN"/>
        </w:rPr>
        <w:t>提供近三年（20</w:t>
      </w:r>
      <w:r>
        <w:rPr>
          <w:rFonts w:hint="eastAsia" w:ascii="宋体" w:hAnsi="宋体" w:cs="宋体"/>
          <w:color w:val="auto"/>
          <w:sz w:val="24"/>
          <w:highlight w:val="none"/>
          <w:lang w:val="en-US" w:eastAsia="zh-CN"/>
        </w:rPr>
        <w:t>19</w:t>
      </w:r>
      <w:r>
        <w:rPr>
          <w:rFonts w:hint="eastAsia" w:ascii="宋体" w:hAnsi="宋体" w:cs="宋体"/>
          <w:color w:val="auto"/>
          <w:sz w:val="24"/>
          <w:highlight w:val="none"/>
          <w:lang w:eastAsia="zh-CN"/>
        </w:rPr>
        <w:t>年-202</w:t>
      </w:r>
      <w:r>
        <w:rPr>
          <w:rFonts w:hint="eastAsia" w:ascii="宋体" w:hAnsi="宋体" w:cs="宋体"/>
          <w:color w:val="auto"/>
          <w:sz w:val="24"/>
          <w:highlight w:val="none"/>
          <w:lang w:val="en-US" w:eastAsia="zh-CN"/>
        </w:rPr>
        <w:t>1</w:t>
      </w:r>
      <w:r>
        <w:rPr>
          <w:rFonts w:hint="eastAsia" w:ascii="宋体" w:hAnsi="宋体" w:cs="宋体"/>
          <w:color w:val="auto"/>
          <w:sz w:val="24"/>
          <w:highlight w:val="none"/>
          <w:lang w:eastAsia="zh-CN"/>
        </w:rPr>
        <w:t>年）经会计师事务所或审计机构出具的财务审计报告。（若投标人为20</w:t>
      </w:r>
      <w:r>
        <w:rPr>
          <w:rFonts w:hint="eastAsia" w:ascii="宋体" w:hAnsi="宋体" w:cs="宋体"/>
          <w:color w:val="auto"/>
          <w:sz w:val="24"/>
          <w:highlight w:val="none"/>
          <w:lang w:val="en-US" w:eastAsia="zh-CN"/>
        </w:rPr>
        <w:t>19</w:t>
      </w:r>
      <w:r>
        <w:rPr>
          <w:rFonts w:hint="eastAsia" w:ascii="宋体" w:hAnsi="宋体" w:cs="宋体"/>
          <w:color w:val="auto"/>
          <w:sz w:val="24"/>
          <w:highlight w:val="none"/>
          <w:lang w:eastAsia="zh-CN"/>
        </w:rPr>
        <w:t>年以后注册成立的公司，即需提供从成立日期起的财务审计报告；若投标人为202</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年以后注册成立的公司，即需提供一份银行资信证明）</w:t>
      </w:r>
      <w:r>
        <w:rPr>
          <w:rFonts w:hint="eastAsia" w:ascii="宋体" w:hAnsi="宋体" w:cs="宋体"/>
          <w:bCs/>
          <w:color w:val="auto"/>
          <w:sz w:val="24"/>
          <w:highlight w:val="none"/>
        </w:rPr>
        <w:t>}；</w:t>
      </w:r>
    </w:p>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cs="宋体"/>
          <w:bCs/>
          <w:color w:val="auto"/>
          <w:sz w:val="24"/>
          <w:highlight w:val="none"/>
        </w:rPr>
        <w:t>3）具有履行合同所必需的设备和专业技术能力</w:t>
      </w:r>
      <w:r>
        <w:rPr>
          <w:rFonts w:hint="eastAsia" w:ascii="宋体" w:hAnsi="宋体" w:cs="宋体"/>
          <w:color w:val="auto"/>
          <w:sz w:val="24"/>
          <w:highlight w:val="none"/>
        </w:rPr>
        <w:t>（可以提供同类业绩合同或者可以提供承诺书&lt;格式自拟&gt;）</w:t>
      </w:r>
      <w:r>
        <w:rPr>
          <w:rFonts w:hint="eastAsia" w:ascii="宋体" w:hAnsi="宋体" w:cs="宋体"/>
          <w:bCs/>
          <w:color w:val="auto"/>
          <w:sz w:val="24"/>
          <w:highlight w:val="none"/>
        </w:rPr>
        <w:t>；</w:t>
      </w:r>
    </w:p>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cs="宋体"/>
          <w:bCs/>
          <w:color w:val="auto"/>
          <w:sz w:val="24"/>
          <w:highlight w:val="none"/>
        </w:rPr>
        <w:t>4）有依法缴纳税收和社会保障资金的良好记录{</w:t>
      </w:r>
      <w:r>
        <w:rPr>
          <w:rFonts w:hint="eastAsia" w:ascii="宋体" w:hAnsi="宋体" w:cs="宋体"/>
          <w:color w:val="auto"/>
          <w:sz w:val="24"/>
          <w:highlight w:val="none"/>
          <w:lang w:eastAsia="zh-CN"/>
        </w:rPr>
        <w:t>提供近一年（2022年</w:t>
      </w:r>
      <w:r>
        <w:rPr>
          <w:rFonts w:hint="eastAsia" w:ascii="宋体" w:hAnsi="宋体" w:cs="宋体"/>
          <w:color w:val="auto"/>
          <w:sz w:val="24"/>
          <w:highlight w:val="none"/>
          <w:lang w:val="en-US" w:eastAsia="zh-CN"/>
        </w:rPr>
        <w:t>6</w:t>
      </w:r>
      <w:r>
        <w:rPr>
          <w:rFonts w:hint="eastAsia" w:ascii="宋体" w:hAnsi="宋体" w:cs="宋体"/>
          <w:color w:val="auto"/>
          <w:sz w:val="24"/>
          <w:highlight w:val="none"/>
          <w:lang w:eastAsia="zh-CN"/>
        </w:rPr>
        <w:t>月以后）任意两个月的依法缴纳税</w:t>
      </w:r>
      <w:r>
        <w:rPr>
          <w:rFonts w:hint="eastAsia" w:ascii="宋体" w:hAnsi="宋体" w:cs="宋体"/>
          <w:color w:val="auto"/>
          <w:sz w:val="24"/>
          <w:highlight w:val="none"/>
        </w:rPr>
        <w:t>收</w:t>
      </w:r>
      <w:r>
        <w:rPr>
          <w:rFonts w:hint="eastAsia" w:ascii="宋体" w:hAnsi="宋体" w:cs="宋体"/>
          <w:color w:val="auto"/>
          <w:sz w:val="24"/>
          <w:highlight w:val="none"/>
          <w:lang w:val="en-US" w:eastAsia="zh-CN"/>
        </w:rPr>
        <w:t>记录</w:t>
      </w:r>
      <w:r>
        <w:rPr>
          <w:rFonts w:hint="eastAsia" w:ascii="宋体" w:hAnsi="宋体" w:cs="宋体"/>
          <w:color w:val="auto"/>
          <w:sz w:val="24"/>
          <w:highlight w:val="none"/>
        </w:rPr>
        <w:t>和社会保障资金的相关材料（依法免税或不需要缴纳社会保障资金的供应商，应提供相应文件证明其依法免税或不需要缴纳社会保障资金）</w:t>
      </w:r>
      <w:r>
        <w:rPr>
          <w:rFonts w:hint="eastAsia" w:ascii="宋体" w:hAnsi="宋体" w:cs="宋体"/>
          <w:bCs/>
          <w:color w:val="auto"/>
          <w:sz w:val="24"/>
          <w:highlight w:val="none"/>
        </w:rPr>
        <w:t>}；</w:t>
      </w:r>
    </w:p>
    <w:p>
      <w:pPr>
        <w:widowControl/>
        <w:spacing w:line="360" w:lineRule="auto"/>
        <w:jc w:val="left"/>
        <w:rPr>
          <w:rFonts w:ascii="宋体" w:hAnsi="宋体" w:cs="宋体"/>
          <w:bCs/>
          <w:color w:val="auto"/>
          <w:sz w:val="24"/>
          <w:highlight w:val="none"/>
        </w:rPr>
      </w:pPr>
      <w:r>
        <w:rPr>
          <w:rFonts w:hint="eastAsia" w:ascii="宋体" w:hAnsi="宋体" w:cs="宋体"/>
          <w:bCs/>
          <w:color w:val="auto"/>
          <w:sz w:val="24"/>
          <w:highlight w:val="none"/>
        </w:rPr>
        <w:t>5）参加政府采购活动前三年内，在经营活动中没有重大违法记录；</w:t>
      </w:r>
    </w:p>
    <w:p>
      <w:pPr>
        <w:widowControl/>
        <w:spacing w:line="360" w:lineRule="auto"/>
        <w:jc w:val="left"/>
        <w:outlineLvl w:val="9"/>
        <w:rPr>
          <w:rFonts w:ascii="宋体" w:hAnsi="宋体" w:cs="宋体"/>
          <w:bCs/>
          <w:color w:val="auto"/>
          <w:sz w:val="24"/>
          <w:highlight w:val="none"/>
        </w:rPr>
      </w:pPr>
      <w:r>
        <w:rPr>
          <w:rFonts w:hint="eastAsia" w:ascii="宋体" w:hAnsi="宋体" w:cs="宋体"/>
          <w:bCs/>
          <w:color w:val="auto"/>
          <w:sz w:val="24"/>
          <w:highlight w:val="none"/>
        </w:rPr>
        <w:t>6）法律、行政法规规定的其他条件。</w:t>
      </w:r>
    </w:p>
    <w:p>
      <w:pPr>
        <w:widowControl/>
        <w:spacing w:line="360" w:lineRule="auto"/>
        <w:jc w:val="left"/>
        <w:rPr>
          <w:rFonts w:hint="eastAsia" w:ascii="宋体" w:hAnsi="宋体" w:cs="宋体"/>
          <w:bCs/>
          <w:color w:val="auto"/>
          <w:sz w:val="24"/>
          <w:highlight w:val="none"/>
          <w:lang w:eastAsia="zh-CN"/>
        </w:rPr>
      </w:pPr>
      <w:r>
        <w:rPr>
          <w:rFonts w:hint="eastAsia" w:ascii="宋体" w:hAnsi="宋体" w:cs="宋体"/>
          <w:bCs/>
          <w:color w:val="auto"/>
          <w:sz w:val="24"/>
          <w:highlight w:val="none"/>
        </w:rPr>
        <w:t>2.2落实政府采购政策需满足的资格要求：</w:t>
      </w:r>
      <w:r>
        <w:rPr>
          <w:rFonts w:hint="eastAsia" w:ascii="宋体" w:hAnsi="宋体" w:cs="宋体"/>
          <w:bCs/>
          <w:color w:val="auto"/>
          <w:sz w:val="24"/>
          <w:highlight w:val="none"/>
          <w:lang w:val="en-US" w:eastAsia="zh-CN"/>
        </w:rPr>
        <w:t>本项目</w:t>
      </w:r>
      <w:r>
        <w:rPr>
          <w:rFonts w:hint="eastAsia" w:ascii="宋体" w:hAnsi="宋体" w:cs="宋体"/>
          <w:bCs/>
          <w:color w:val="auto"/>
          <w:sz w:val="24"/>
          <w:highlight w:val="none"/>
        </w:rPr>
        <w:t>非专门面向中小企业</w:t>
      </w:r>
      <w:r>
        <w:rPr>
          <w:rFonts w:hint="eastAsia" w:ascii="宋体" w:hAnsi="宋体" w:cs="宋体"/>
          <w:bCs/>
          <w:color w:val="auto"/>
          <w:sz w:val="24"/>
          <w:highlight w:val="none"/>
          <w:lang w:val="en-US" w:eastAsia="zh-CN"/>
        </w:rPr>
        <w:t>采购</w:t>
      </w:r>
      <w:r>
        <w:rPr>
          <w:rFonts w:hint="eastAsia" w:ascii="宋体" w:hAnsi="宋体" w:cs="宋体"/>
          <w:bCs/>
          <w:color w:val="auto"/>
          <w:sz w:val="24"/>
          <w:highlight w:val="none"/>
        </w:rPr>
        <w:t>；</w:t>
      </w:r>
      <w:r>
        <w:rPr>
          <w:rFonts w:hint="eastAsia" w:ascii="宋体" w:hAnsi="宋体" w:cs="宋体"/>
          <w:bCs/>
          <w:color w:val="auto"/>
          <w:sz w:val="24"/>
          <w:highlight w:val="none"/>
          <w:lang w:val="en-US" w:eastAsia="zh-CN"/>
        </w:rPr>
        <w:t xml:space="preserve"> </w:t>
      </w:r>
    </w:p>
    <w:p>
      <w:pPr>
        <w:widowControl/>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2.3本项目的特定资格要求：</w:t>
      </w:r>
    </w:p>
    <w:p>
      <w:pPr>
        <w:widowControl/>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1）投标人应当通过“信用中国”网站（www.creditchina.gov.cn）、中国政府采购网（www.ccgp.gov.cn）等渠道查询相关主体信用记录，对列入失信被执行人、重大税收违法案件</w:t>
      </w:r>
      <w:r>
        <w:rPr>
          <w:rFonts w:hint="eastAsia" w:ascii="宋体" w:hAnsi="宋体" w:cs="宋体"/>
          <w:bCs/>
          <w:color w:val="auto"/>
          <w:sz w:val="24"/>
          <w:highlight w:val="none"/>
          <w:lang w:val="en-US" w:eastAsia="zh-CN"/>
        </w:rPr>
        <w:t>失信主体</w:t>
      </w:r>
      <w:r>
        <w:rPr>
          <w:rFonts w:hint="eastAsia" w:ascii="宋体" w:hAnsi="宋体" w:cs="宋体"/>
          <w:bCs/>
          <w:color w:val="auto"/>
          <w:sz w:val="24"/>
          <w:highlight w:val="none"/>
        </w:rPr>
        <w:t>、政府采购严重违法失信行为记录名单及其他不符合《中华人民共和国政府采购法》第二十二条规定条件的供应商，应当拒绝其参与政府采购活动；</w:t>
      </w:r>
    </w:p>
    <w:p>
      <w:pPr>
        <w:widowControl/>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2）单位负责人为同一人或存在直接控股、管理关系的不同供应商，不得参加同一合同项下的政府采购活动。</w:t>
      </w:r>
    </w:p>
    <w:p>
      <w:pPr>
        <w:widowControl/>
        <w:spacing w:line="360" w:lineRule="auto"/>
        <w:ind w:firstLine="480" w:firstLineChars="200"/>
        <w:jc w:val="left"/>
        <w:rPr>
          <w:rFonts w:hint="eastAsia" w:ascii="宋体" w:hAnsi="宋体" w:cs="宋体"/>
          <w:bCs/>
          <w:color w:val="auto"/>
          <w:sz w:val="24"/>
          <w:highlight w:val="none"/>
        </w:rPr>
      </w:pPr>
      <w:r>
        <w:rPr>
          <w:rFonts w:hint="eastAsia" w:ascii="宋体" w:hAnsi="宋体" w:cs="宋体"/>
          <w:bCs/>
          <w:color w:val="auto"/>
          <w:sz w:val="24"/>
          <w:highlight w:val="none"/>
        </w:rPr>
        <w:t>除单一来源采购项目外，为采购项目提供整体设计、规范编制或者项目管理、监理、检测等服务的供应商，不得再参加该采购项目的其他采购活动。</w:t>
      </w:r>
    </w:p>
    <w:p>
      <w:pPr>
        <w:rPr>
          <w:rFonts w:ascii="宋体" w:hAnsi="宋体" w:cs="宋体"/>
          <w:bCs/>
          <w:color w:val="auto"/>
          <w:sz w:val="24"/>
          <w:highlight w:val="none"/>
        </w:rPr>
      </w:pPr>
      <w:bookmarkStart w:id="16" w:name="_Toc35393792"/>
      <w:bookmarkStart w:id="17" w:name="_Toc35393623"/>
      <w:r>
        <w:rPr>
          <w:rFonts w:hint="eastAsia" w:ascii="宋体" w:hAnsi="宋体" w:cs="宋体"/>
          <w:bCs/>
          <w:color w:val="auto"/>
          <w:sz w:val="24"/>
          <w:highlight w:val="none"/>
        </w:rPr>
        <w:t>三、获取招标文件</w:t>
      </w:r>
      <w:bookmarkEnd w:id="14"/>
      <w:bookmarkEnd w:id="15"/>
      <w:bookmarkEnd w:id="16"/>
      <w:bookmarkEnd w:id="17"/>
    </w:p>
    <w:p>
      <w:pPr>
        <w:spacing w:line="360" w:lineRule="auto"/>
        <w:rPr>
          <w:rFonts w:ascii="宋体" w:hAnsi="宋体" w:cs="宋体"/>
          <w:bCs/>
          <w:color w:val="auto"/>
          <w:sz w:val="24"/>
          <w:highlight w:val="none"/>
        </w:rPr>
      </w:pPr>
      <w:r>
        <w:rPr>
          <w:rFonts w:hint="eastAsia" w:ascii="宋体" w:hAnsi="宋体" w:cs="宋体"/>
          <w:bCs/>
          <w:color w:val="auto"/>
          <w:sz w:val="24"/>
          <w:highlight w:val="none"/>
        </w:rPr>
        <w:t>3.1时间：</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u w:val="single"/>
          <w:lang w:val="en-US" w:eastAsia="zh-CN"/>
        </w:rPr>
        <w:t>2024</w:t>
      </w:r>
      <w:r>
        <w:rPr>
          <w:rFonts w:hint="eastAsia" w:ascii="宋体" w:hAnsi="宋体" w:cs="宋体"/>
          <w:bCs/>
          <w:color w:val="auto"/>
          <w:sz w:val="24"/>
          <w:highlight w:val="none"/>
          <w:u w:val="single"/>
        </w:rPr>
        <w:t>年</w:t>
      </w:r>
      <w:r>
        <w:rPr>
          <w:rFonts w:hint="eastAsia" w:ascii="宋体" w:hAnsi="宋体" w:cs="宋体"/>
          <w:bCs/>
          <w:color w:val="auto"/>
          <w:sz w:val="24"/>
          <w:highlight w:val="none"/>
          <w:u w:val="single"/>
          <w:lang w:val="en-US" w:eastAsia="zh-CN"/>
        </w:rPr>
        <w:t>01</w:t>
      </w:r>
      <w:r>
        <w:rPr>
          <w:rFonts w:hint="eastAsia" w:ascii="宋体" w:hAnsi="宋体" w:cs="宋体"/>
          <w:bCs/>
          <w:color w:val="auto"/>
          <w:sz w:val="24"/>
          <w:highlight w:val="none"/>
          <w:u w:val="single"/>
        </w:rPr>
        <w:t>月</w:t>
      </w:r>
      <w:r>
        <w:rPr>
          <w:rFonts w:hint="eastAsia" w:ascii="宋体" w:hAnsi="宋体" w:cs="宋体"/>
          <w:bCs/>
          <w:color w:val="auto"/>
          <w:sz w:val="24"/>
          <w:highlight w:val="none"/>
          <w:u w:val="single"/>
          <w:lang w:val="en-US" w:eastAsia="zh-CN"/>
        </w:rPr>
        <w:t>05</w:t>
      </w:r>
      <w:r>
        <w:rPr>
          <w:rFonts w:hint="eastAsia" w:ascii="宋体" w:hAnsi="宋体" w:cs="宋体"/>
          <w:bCs/>
          <w:color w:val="auto"/>
          <w:sz w:val="24"/>
          <w:highlight w:val="none"/>
          <w:u w:val="single"/>
        </w:rPr>
        <w:t>日至</w:t>
      </w:r>
      <w:r>
        <w:rPr>
          <w:rFonts w:hint="eastAsia" w:ascii="宋体" w:hAnsi="宋体" w:cs="宋体"/>
          <w:bCs/>
          <w:color w:val="auto"/>
          <w:sz w:val="24"/>
          <w:highlight w:val="none"/>
          <w:u w:val="single"/>
          <w:lang w:val="en-US" w:eastAsia="zh-CN"/>
        </w:rPr>
        <w:t>2024</w:t>
      </w:r>
      <w:r>
        <w:rPr>
          <w:rFonts w:hint="eastAsia" w:ascii="宋体" w:hAnsi="宋体" w:cs="宋体"/>
          <w:bCs/>
          <w:color w:val="auto"/>
          <w:sz w:val="24"/>
          <w:highlight w:val="none"/>
          <w:u w:val="single"/>
        </w:rPr>
        <w:t>年</w:t>
      </w:r>
      <w:r>
        <w:rPr>
          <w:rFonts w:hint="eastAsia" w:ascii="宋体" w:hAnsi="宋体" w:cs="宋体"/>
          <w:bCs/>
          <w:color w:val="auto"/>
          <w:sz w:val="24"/>
          <w:highlight w:val="none"/>
          <w:u w:val="single"/>
          <w:lang w:val="en-US" w:eastAsia="zh-CN"/>
        </w:rPr>
        <w:t>01</w:t>
      </w:r>
      <w:r>
        <w:rPr>
          <w:rFonts w:hint="eastAsia" w:ascii="宋体" w:hAnsi="宋体" w:cs="宋体"/>
          <w:bCs/>
          <w:color w:val="auto"/>
          <w:sz w:val="24"/>
          <w:highlight w:val="none"/>
          <w:u w:val="single"/>
        </w:rPr>
        <w:t>月</w:t>
      </w:r>
      <w:r>
        <w:rPr>
          <w:rFonts w:hint="eastAsia" w:ascii="宋体" w:hAnsi="宋体" w:cs="宋体"/>
          <w:bCs/>
          <w:color w:val="auto"/>
          <w:sz w:val="24"/>
          <w:highlight w:val="none"/>
          <w:u w:val="single"/>
          <w:lang w:val="en-US" w:eastAsia="zh-CN"/>
        </w:rPr>
        <w:t>11</w:t>
      </w:r>
      <w:r>
        <w:rPr>
          <w:rFonts w:hint="eastAsia" w:ascii="宋体" w:hAnsi="宋体" w:cs="宋体"/>
          <w:bCs/>
          <w:color w:val="auto"/>
          <w:sz w:val="24"/>
          <w:highlight w:val="none"/>
          <w:u w:val="single"/>
        </w:rPr>
        <w:t>日</w:t>
      </w:r>
      <w:r>
        <w:rPr>
          <w:rFonts w:hint="eastAsia" w:ascii="宋体" w:hAnsi="宋体" w:cs="宋体"/>
          <w:bCs/>
          <w:color w:val="auto"/>
          <w:sz w:val="24"/>
          <w:highlight w:val="none"/>
        </w:rPr>
        <w:t>，每天</w:t>
      </w:r>
      <w:r>
        <w:rPr>
          <w:rFonts w:hint="eastAsia" w:ascii="宋体" w:hAnsi="宋体" w:cs="宋体"/>
          <w:bCs/>
          <w:color w:val="auto"/>
          <w:sz w:val="24"/>
          <w:highlight w:val="none"/>
          <w:u w:val="single"/>
        </w:rPr>
        <w:t>08：30</w:t>
      </w:r>
      <w:r>
        <w:rPr>
          <w:rFonts w:hint="eastAsia" w:ascii="宋体" w:hAnsi="宋体" w:cs="宋体"/>
          <w:bCs/>
          <w:color w:val="auto"/>
          <w:sz w:val="24"/>
          <w:highlight w:val="none"/>
        </w:rPr>
        <w:t>至</w:t>
      </w:r>
      <w:r>
        <w:rPr>
          <w:rFonts w:hint="eastAsia" w:ascii="宋体" w:hAnsi="宋体" w:cs="宋体"/>
          <w:bCs/>
          <w:color w:val="auto"/>
          <w:sz w:val="24"/>
          <w:highlight w:val="none"/>
          <w:u w:val="single"/>
        </w:rPr>
        <w:t>16：00</w:t>
      </w:r>
      <w:r>
        <w:rPr>
          <w:rFonts w:hint="eastAsia" w:ascii="宋体" w:hAnsi="宋体" w:cs="宋体"/>
          <w:bCs/>
          <w:color w:val="auto"/>
          <w:sz w:val="24"/>
          <w:highlight w:val="none"/>
        </w:rPr>
        <w:t>，（北京时间，法定节假日除外）。</w:t>
      </w:r>
    </w:p>
    <w:p>
      <w:pPr>
        <w:spacing w:line="360" w:lineRule="auto"/>
        <w:rPr>
          <w:rFonts w:ascii="宋体" w:hAnsi="宋体" w:cs="宋体"/>
          <w:bCs/>
          <w:color w:val="auto"/>
          <w:sz w:val="24"/>
          <w:highlight w:val="none"/>
        </w:rPr>
      </w:pPr>
      <w:bookmarkStart w:id="18" w:name="_Toc28359082"/>
      <w:bookmarkStart w:id="19" w:name="_Toc28359005"/>
      <w:bookmarkStart w:id="20" w:name="_Toc35393793"/>
      <w:bookmarkStart w:id="21" w:name="_Toc35393624"/>
      <w:r>
        <w:rPr>
          <w:rFonts w:hint="eastAsia" w:ascii="宋体" w:hAnsi="宋体" w:cs="宋体"/>
          <w:bCs/>
          <w:color w:val="auto"/>
          <w:sz w:val="24"/>
          <w:highlight w:val="none"/>
        </w:rPr>
        <w:t>3.2首先登录吉林省公共资源交易中心（吉林省政府采购中心）网（www.ggzyzx.jl.gov.cn），按照规定进行供应商注册登记，网上注册登记后，请携带相关材料到国投安信数字证书认证有限公司办理CA认证。未进行网上注册并办理CA认证的供应商将无法参与吉林省公共资源交易中心（吉林省政府采购中心）组织的所有招标采购活动。 </w:t>
      </w:r>
    </w:p>
    <w:p>
      <w:pPr>
        <w:spacing w:line="360" w:lineRule="auto"/>
        <w:rPr>
          <w:rFonts w:ascii="宋体" w:hAnsi="宋体" w:cs="宋体"/>
          <w:bCs/>
          <w:color w:val="auto"/>
          <w:sz w:val="24"/>
          <w:highlight w:val="none"/>
        </w:rPr>
      </w:pPr>
      <w:r>
        <w:rPr>
          <w:rFonts w:hint="eastAsia" w:ascii="宋体" w:hAnsi="宋体" w:cs="宋体"/>
          <w:bCs/>
          <w:color w:val="auto"/>
          <w:sz w:val="24"/>
          <w:highlight w:val="none"/>
        </w:rPr>
        <w:t>3.3供应商取得CA认证后，可登录吉林省公共资源交易中心（吉林省政府采购中心）网站“CA登录区”下载电子招标文件。供应商下载招标文件后，务必在规定的“确认参加投标截止时间”之前点击“投标”按钮确认参加投标才具有投标资格。如果供应商在规定的“确认参加投标截止时间”之前没有点击“投标”按钮确认参加投标，将失去参加本项目投标的资格。</w:t>
      </w:r>
    </w:p>
    <w:p>
      <w:pPr>
        <w:pStyle w:val="21"/>
        <w:spacing w:line="360" w:lineRule="auto"/>
        <w:ind w:firstLine="0" w:firstLineChars="0"/>
        <w:rPr>
          <w:rFonts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3.4确认参加投标截止时间：2024年01月11日16:00（北京时间）</w:t>
      </w:r>
    </w:p>
    <w:p>
      <w:pPr>
        <w:spacing w:line="360" w:lineRule="auto"/>
        <w:rPr>
          <w:rFonts w:ascii="宋体" w:hAnsi="宋体" w:cs="宋体"/>
          <w:bCs/>
          <w:color w:val="auto"/>
          <w:sz w:val="24"/>
          <w:highlight w:val="none"/>
        </w:rPr>
      </w:pPr>
      <w:r>
        <w:rPr>
          <w:rFonts w:hint="eastAsia" w:ascii="宋体" w:hAnsi="宋体" w:cs="宋体"/>
          <w:bCs/>
          <w:color w:val="auto"/>
          <w:sz w:val="24"/>
          <w:highlight w:val="none"/>
        </w:rPr>
        <w:t>3.5凡与本项目招投标活动有关的时间，均以吉林省公共资源交易中心（吉林省政府采购中心）服务器显示的时间为准。</w:t>
      </w:r>
    </w:p>
    <w:p>
      <w:pPr>
        <w:pStyle w:val="4"/>
        <w:spacing w:line="360" w:lineRule="auto"/>
        <w:rPr>
          <w:rFonts w:hint="default" w:ascii="宋体" w:hAnsi="宋体" w:eastAsia="宋体" w:cs="宋体"/>
          <w:b w:val="0"/>
          <w:color w:val="auto"/>
          <w:sz w:val="24"/>
          <w:szCs w:val="24"/>
          <w:highlight w:val="none"/>
        </w:rPr>
      </w:pPr>
      <w:r>
        <w:rPr>
          <w:rFonts w:ascii="宋体" w:hAnsi="宋体" w:eastAsia="宋体" w:cs="宋体"/>
          <w:b w:val="0"/>
          <w:color w:val="auto"/>
          <w:sz w:val="24"/>
          <w:szCs w:val="24"/>
          <w:highlight w:val="none"/>
        </w:rPr>
        <w:t>四、提交投标文件</w:t>
      </w:r>
      <w:bookmarkEnd w:id="18"/>
      <w:bookmarkEnd w:id="19"/>
      <w:r>
        <w:rPr>
          <w:rFonts w:ascii="宋体" w:hAnsi="宋体" w:eastAsia="宋体" w:cs="宋体"/>
          <w:b w:val="0"/>
          <w:color w:val="auto"/>
          <w:sz w:val="24"/>
          <w:szCs w:val="24"/>
          <w:highlight w:val="none"/>
        </w:rPr>
        <w:t>截止时间、开标时间和地点</w:t>
      </w:r>
      <w:bookmarkEnd w:id="20"/>
      <w:bookmarkEnd w:id="21"/>
    </w:p>
    <w:p>
      <w:pPr>
        <w:spacing w:line="360" w:lineRule="auto"/>
        <w:ind w:left="240" w:hanging="240" w:hangingChars="100"/>
        <w:rPr>
          <w:color w:val="auto"/>
        </w:rPr>
      </w:pPr>
      <w:r>
        <w:rPr>
          <w:rFonts w:hint="eastAsia" w:ascii="宋体" w:hAnsi="宋体" w:cs="宋体"/>
          <w:bCs/>
          <w:color w:val="auto"/>
          <w:sz w:val="24"/>
          <w:highlight w:val="none"/>
        </w:rPr>
        <w:t>4.1提交投标文件截止时间（开标时间）：</w:t>
      </w:r>
      <w:r>
        <w:rPr>
          <w:rFonts w:hint="eastAsia" w:ascii="宋体" w:hAnsi="宋体" w:cs="宋体"/>
          <w:color w:val="auto"/>
          <w:sz w:val="24"/>
        </w:rPr>
        <w:t>第</w:t>
      </w:r>
      <w:r>
        <w:rPr>
          <w:rFonts w:hint="eastAsia" w:ascii="宋体" w:hAnsi="宋体" w:cs="宋体"/>
          <w:color w:val="auto"/>
          <w:sz w:val="24"/>
          <w:lang w:val="en-US" w:eastAsia="zh-CN"/>
        </w:rPr>
        <w:t>8、9</w:t>
      </w:r>
      <w:r>
        <w:rPr>
          <w:rFonts w:hint="eastAsia" w:ascii="宋体" w:hAnsi="宋体" w:cs="宋体"/>
          <w:color w:val="auto"/>
          <w:sz w:val="24"/>
        </w:rPr>
        <w:t>标段于202</w:t>
      </w:r>
      <w:r>
        <w:rPr>
          <w:rFonts w:hint="eastAsia" w:ascii="宋体" w:hAnsi="宋体" w:cs="宋体"/>
          <w:color w:val="auto"/>
          <w:sz w:val="24"/>
          <w:lang w:val="en-US" w:eastAsia="zh-CN"/>
        </w:rPr>
        <w:t>4</w:t>
      </w:r>
      <w:r>
        <w:rPr>
          <w:rFonts w:hint="eastAsia" w:ascii="宋体" w:hAnsi="宋体" w:cs="宋体"/>
          <w:color w:val="auto"/>
          <w:sz w:val="24"/>
        </w:rPr>
        <w:t>年</w:t>
      </w:r>
      <w:r>
        <w:rPr>
          <w:rFonts w:hint="eastAsia" w:ascii="宋体" w:hAnsi="宋体" w:cs="宋体"/>
          <w:color w:val="auto"/>
          <w:sz w:val="24"/>
          <w:lang w:val="en-US" w:eastAsia="zh-CN"/>
        </w:rPr>
        <w:t>01</w:t>
      </w:r>
      <w:r>
        <w:rPr>
          <w:rFonts w:hint="eastAsia" w:ascii="宋体" w:hAnsi="宋体" w:cs="宋体"/>
          <w:color w:val="auto"/>
          <w:sz w:val="24"/>
        </w:rPr>
        <w:t>月</w:t>
      </w:r>
      <w:r>
        <w:rPr>
          <w:rFonts w:hint="eastAsia" w:ascii="宋体" w:hAnsi="宋体" w:cs="宋体"/>
          <w:color w:val="auto"/>
          <w:sz w:val="24"/>
          <w:lang w:val="en-US" w:eastAsia="zh-CN"/>
        </w:rPr>
        <w:t>25</w:t>
      </w:r>
      <w:r>
        <w:rPr>
          <w:rFonts w:hint="eastAsia" w:ascii="宋体" w:hAnsi="宋体" w:cs="宋体"/>
          <w:color w:val="auto"/>
          <w:sz w:val="24"/>
        </w:rPr>
        <w:t>日09时00分</w:t>
      </w:r>
      <w:r>
        <w:rPr>
          <w:rFonts w:hint="eastAsia" w:ascii="宋体" w:hAnsi="宋体" w:cs="宋体"/>
          <w:color w:val="auto"/>
          <w:sz w:val="24"/>
          <w:highlight w:val="none"/>
          <w:lang w:eastAsia="zh-CN"/>
        </w:rPr>
        <w:t>（北京时间）</w:t>
      </w:r>
      <w:r>
        <w:rPr>
          <w:rFonts w:hint="eastAsia" w:ascii="宋体" w:hAnsi="宋体" w:cs="宋体"/>
          <w:bCs/>
          <w:color w:val="auto"/>
          <w:sz w:val="24"/>
          <w:highlight w:val="none"/>
          <w:lang w:eastAsia="zh-CN"/>
        </w:rPr>
        <w:t>开标</w:t>
      </w:r>
      <w:r>
        <w:rPr>
          <w:rFonts w:hint="eastAsia" w:ascii="宋体" w:hAnsi="宋体" w:cs="宋体"/>
          <w:color w:val="auto"/>
          <w:sz w:val="24"/>
          <w:highlight w:val="none"/>
        </w:rPr>
        <w:t>。</w:t>
      </w:r>
    </w:p>
    <w:p>
      <w:pPr>
        <w:spacing w:line="360" w:lineRule="auto"/>
        <w:rPr>
          <w:rFonts w:hint="eastAsia" w:ascii="宋体" w:hAnsi="宋体" w:eastAsia="宋体" w:cs="宋体"/>
          <w:bCs/>
          <w:color w:val="auto"/>
          <w:sz w:val="24"/>
          <w:highlight w:val="none"/>
          <w:u w:val="single"/>
          <w:lang w:val="en-US" w:eastAsia="zh-CN"/>
        </w:rPr>
      </w:pPr>
      <w:r>
        <w:rPr>
          <w:rFonts w:hint="eastAsia" w:ascii="宋体" w:hAnsi="宋体" w:cs="宋体"/>
          <w:bCs/>
          <w:color w:val="auto"/>
          <w:sz w:val="24"/>
          <w:highlight w:val="none"/>
        </w:rPr>
        <w:t>4.2地点：吉林省公共资源交易中心开标室（吉林省长春市人民大街9999号雕塑公园对面）</w:t>
      </w:r>
      <w:r>
        <w:rPr>
          <w:rFonts w:hint="eastAsia" w:ascii="宋体" w:hAnsi="宋体" w:cs="宋体"/>
          <w:color w:val="auto"/>
          <w:sz w:val="24"/>
          <w:highlight w:val="none"/>
          <w:lang w:val="en-US" w:eastAsia="zh-CN"/>
        </w:rPr>
        <w:t>。</w:t>
      </w:r>
    </w:p>
    <w:p>
      <w:pPr>
        <w:pStyle w:val="4"/>
        <w:spacing w:line="360" w:lineRule="auto"/>
        <w:rPr>
          <w:rFonts w:hint="default" w:ascii="宋体" w:hAnsi="宋体" w:eastAsia="宋体" w:cs="宋体"/>
          <w:b w:val="0"/>
          <w:color w:val="auto"/>
          <w:sz w:val="24"/>
          <w:szCs w:val="24"/>
          <w:highlight w:val="none"/>
        </w:rPr>
      </w:pPr>
      <w:bookmarkStart w:id="22" w:name="_Toc28359007"/>
      <w:bookmarkStart w:id="23" w:name="_Toc28359084"/>
      <w:bookmarkStart w:id="24" w:name="_Toc35393794"/>
      <w:bookmarkStart w:id="25" w:name="_Toc35393625"/>
      <w:r>
        <w:rPr>
          <w:rFonts w:ascii="宋体" w:hAnsi="宋体" w:eastAsia="宋体" w:cs="宋体"/>
          <w:b w:val="0"/>
          <w:color w:val="auto"/>
          <w:sz w:val="24"/>
          <w:szCs w:val="24"/>
          <w:highlight w:val="none"/>
        </w:rPr>
        <w:t>五、公告期限</w:t>
      </w:r>
      <w:bookmarkEnd w:id="22"/>
      <w:bookmarkEnd w:id="23"/>
      <w:bookmarkEnd w:id="24"/>
      <w:bookmarkEnd w:id="25"/>
    </w:p>
    <w:p>
      <w:pPr>
        <w:spacing w:line="360" w:lineRule="auto"/>
        <w:rPr>
          <w:rFonts w:ascii="宋体" w:hAnsi="宋体" w:cs="宋体"/>
          <w:bCs/>
          <w:color w:val="auto"/>
          <w:kern w:val="0"/>
          <w:sz w:val="24"/>
          <w:highlight w:val="none"/>
        </w:rPr>
      </w:pPr>
      <w:r>
        <w:rPr>
          <w:rFonts w:hint="eastAsia" w:ascii="宋体" w:hAnsi="宋体" w:cs="宋体"/>
          <w:bCs/>
          <w:color w:val="auto"/>
          <w:kern w:val="0"/>
          <w:sz w:val="24"/>
          <w:highlight w:val="none"/>
        </w:rPr>
        <w:t>5.1自本公告发布之日起5个工作日。</w:t>
      </w:r>
    </w:p>
    <w:p>
      <w:pPr>
        <w:pStyle w:val="4"/>
        <w:spacing w:line="360" w:lineRule="auto"/>
        <w:rPr>
          <w:rFonts w:hint="default" w:ascii="宋体" w:hAnsi="宋体" w:eastAsia="宋体" w:cs="宋体"/>
          <w:b w:val="0"/>
          <w:color w:val="auto"/>
          <w:sz w:val="24"/>
          <w:szCs w:val="24"/>
          <w:highlight w:val="none"/>
        </w:rPr>
      </w:pPr>
      <w:bookmarkStart w:id="26" w:name="_Toc35393626"/>
      <w:bookmarkStart w:id="27" w:name="_Toc35393795"/>
      <w:r>
        <w:rPr>
          <w:rFonts w:ascii="宋体" w:hAnsi="宋体" w:eastAsia="宋体" w:cs="宋体"/>
          <w:b w:val="0"/>
          <w:color w:val="auto"/>
          <w:sz w:val="24"/>
          <w:szCs w:val="24"/>
          <w:highlight w:val="none"/>
        </w:rPr>
        <w:t>六、其他补充事宜</w:t>
      </w:r>
      <w:bookmarkEnd w:id="26"/>
      <w:bookmarkEnd w:id="27"/>
    </w:p>
    <w:p>
      <w:pPr>
        <w:pStyle w:val="31"/>
        <w:spacing w:line="360" w:lineRule="auto"/>
        <w:ind w:firstLine="0" w:firstLineChars="0"/>
        <w:rPr>
          <w:rFonts w:ascii="宋体" w:hAnsi="宋体" w:cs="宋体"/>
          <w:bCs/>
          <w:color w:val="auto"/>
          <w:sz w:val="24"/>
          <w:szCs w:val="24"/>
          <w:highlight w:val="none"/>
        </w:rPr>
      </w:pPr>
      <w:r>
        <w:rPr>
          <w:rFonts w:hint="eastAsia" w:ascii="宋体" w:hAnsi="宋体" w:cs="宋体"/>
          <w:bCs/>
          <w:color w:val="auto"/>
          <w:sz w:val="24"/>
          <w:szCs w:val="24"/>
          <w:highlight w:val="none"/>
          <w:lang w:val="en-US" w:eastAsia="zh-CN"/>
        </w:rPr>
        <w:t xml:space="preserve">  </w:t>
      </w:r>
      <w:r>
        <w:rPr>
          <w:rFonts w:hint="eastAsia" w:ascii="宋体" w:hAnsi="宋体" w:cs="宋体"/>
          <w:color w:val="auto"/>
          <w:sz w:val="24"/>
          <w:highlight w:val="none"/>
        </w:rPr>
        <w:t>所有投标文件都应附有投标保证金。投标人应在投标截止时间前将投标保证金采用支票、汇票、本票或者金融机构、担保机构出具的保函等非现金形式交纳（投标保证金应当从供应商的基本账户转出）。投标保证金凭证或票据应与开标一览表分别单独信封密封提交，独立于投标文件之外，并于递交投标文件截止时间前与投标文件一同递交到开标地点。</w:t>
      </w:r>
    </w:p>
    <w:p>
      <w:pPr>
        <w:pStyle w:val="4"/>
        <w:widowControl/>
        <w:autoSpaceDE w:val="0"/>
        <w:autoSpaceDN w:val="0"/>
        <w:spacing w:line="360" w:lineRule="auto"/>
        <w:textAlignment w:val="bottom"/>
        <w:rPr>
          <w:rFonts w:hint="eastAsia" w:ascii="宋体" w:hAnsi="宋体" w:eastAsia="宋体" w:cs="宋体"/>
          <w:b w:val="0"/>
          <w:color w:val="auto"/>
          <w:sz w:val="24"/>
          <w:szCs w:val="24"/>
          <w:highlight w:val="none"/>
          <w:lang w:eastAsia="zh-CN"/>
        </w:rPr>
      </w:pPr>
      <w:r>
        <w:rPr>
          <w:rFonts w:ascii="宋体" w:hAnsi="宋体" w:eastAsia="宋体" w:cs="宋体"/>
          <w:b w:val="0"/>
          <w:color w:val="auto"/>
          <w:sz w:val="24"/>
          <w:szCs w:val="24"/>
          <w:highlight w:val="none"/>
        </w:rPr>
        <w:t>七、发布招标公告媒体：中国政府采购网、</w:t>
      </w:r>
      <w:r>
        <w:rPr>
          <w:rFonts w:hint="eastAsia" w:ascii="宋体" w:hAnsi="宋体" w:eastAsia="宋体" w:cs="宋体"/>
          <w:b w:val="0"/>
          <w:color w:val="auto"/>
          <w:sz w:val="24"/>
          <w:szCs w:val="24"/>
          <w:highlight w:val="none"/>
          <w:lang w:val="en-US" w:eastAsia="zh-CN"/>
        </w:rPr>
        <w:t>中国采购与招标网、</w:t>
      </w:r>
      <w:r>
        <w:rPr>
          <w:rFonts w:ascii="宋体" w:hAnsi="宋体" w:eastAsia="宋体" w:cs="宋体"/>
          <w:b w:val="0"/>
          <w:color w:val="auto"/>
          <w:sz w:val="24"/>
          <w:szCs w:val="24"/>
          <w:highlight w:val="none"/>
        </w:rPr>
        <w:t>吉林省公共资源交易中心网</w:t>
      </w:r>
      <w:r>
        <w:rPr>
          <w:rFonts w:hint="eastAsia" w:ascii="宋体" w:hAnsi="宋体" w:eastAsia="宋体" w:cs="宋体"/>
          <w:b w:val="0"/>
          <w:color w:val="auto"/>
          <w:sz w:val="24"/>
          <w:szCs w:val="24"/>
          <w:highlight w:val="none"/>
          <w:lang w:eastAsia="zh-CN"/>
        </w:rPr>
        <w:t>。</w:t>
      </w:r>
    </w:p>
    <w:p>
      <w:pPr>
        <w:pStyle w:val="31"/>
        <w:numPr>
          <w:ilvl w:val="255"/>
          <w:numId w:val="0"/>
        </w:num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八、采购项目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关于运用政府采购政策支持脱贫攻坚的通知》（财库〔2019〕27号）《关于进一步加大政府采购支持中小企业力度的通知》财库【2022】19号等相关政策文件。</w:t>
      </w:r>
    </w:p>
    <w:p>
      <w:pPr>
        <w:pStyle w:val="4"/>
        <w:spacing w:line="360" w:lineRule="auto"/>
        <w:rPr>
          <w:rFonts w:hint="default" w:ascii="宋体" w:hAnsi="宋体" w:eastAsia="宋体" w:cs="宋体"/>
          <w:b w:val="0"/>
          <w:color w:val="auto"/>
          <w:sz w:val="24"/>
          <w:szCs w:val="24"/>
          <w:highlight w:val="none"/>
        </w:rPr>
      </w:pPr>
      <w:bookmarkStart w:id="28" w:name="_Toc35393627"/>
      <w:bookmarkStart w:id="29" w:name="_Toc28359008"/>
      <w:bookmarkStart w:id="30" w:name="_Toc28359085"/>
      <w:bookmarkStart w:id="31" w:name="_Toc35393796"/>
      <w:r>
        <w:rPr>
          <w:rFonts w:ascii="宋体" w:hAnsi="宋体" w:eastAsia="宋体" w:cs="宋体"/>
          <w:b w:val="0"/>
          <w:color w:val="auto"/>
          <w:sz w:val="24"/>
          <w:szCs w:val="24"/>
          <w:highlight w:val="none"/>
        </w:rPr>
        <w:t>九、对本次招标提出询问，请按以下方式联系。</w:t>
      </w:r>
      <w:bookmarkEnd w:id="28"/>
      <w:bookmarkEnd w:id="29"/>
      <w:bookmarkEnd w:id="30"/>
      <w:bookmarkEnd w:id="31"/>
    </w:p>
    <w:p>
      <w:pPr>
        <w:widowControl/>
        <w:spacing w:line="360" w:lineRule="auto"/>
        <w:jc w:val="left"/>
        <w:rPr>
          <w:rFonts w:ascii="宋体" w:hAnsi="宋体" w:cs="宋体"/>
          <w:color w:val="auto"/>
          <w:sz w:val="24"/>
          <w:highlight w:val="none"/>
        </w:rPr>
      </w:pPr>
      <w:r>
        <w:rPr>
          <w:rFonts w:hint="eastAsia" w:ascii="宋体" w:hAnsi="宋体" w:cs="宋体"/>
          <w:color w:val="auto"/>
          <w:sz w:val="24"/>
          <w:highlight w:val="none"/>
        </w:rPr>
        <w:t>9.1.采购人信息</w:t>
      </w:r>
    </w:p>
    <w:p>
      <w:pPr>
        <w:spacing w:line="360" w:lineRule="auto"/>
        <w:jc w:val="left"/>
        <w:rPr>
          <w:rFonts w:ascii="宋体" w:hAnsi="宋体" w:cs="宋体"/>
          <w:color w:val="auto"/>
          <w:sz w:val="24"/>
          <w:highlight w:val="none"/>
        </w:rPr>
      </w:pPr>
      <w:bookmarkStart w:id="32" w:name="_Toc28359086"/>
      <w:bookmarkStart w:id="33" w:name="_Toc28359009"/>
      <w:r>
        <w:rPr>
          <w:rFonts w:hint="eastAsia" w:ascii="宋体" w:hAnsi="宋体" w:cs="宋体"/>
          <w:color w:val="auto"/>
          <w:sz w:val="24"/>
          <w:highlight w:val="none"/>
        </w:rPr>
        <w:t>采购单位名称：吉林省消防救援总队</w:t>
      </w:r>
    </w:p>
    <w:p>
      <w:pPr>
        <w:spacing w:line="360" w:lineRule="auto"/>
        <w:jc w:val="left"/>
        <w:rPr>
          <w:rFonts w:ascii="宋体" w:hAnsi="宋体" w:cs="宋体"/>
          <w:color w:val="auto"/>
          <w:sz w:val="24"/>
          <w:highlight w:val="none"/>
        </w:rPr>
      </w:pPr>
      <w:r>
        <w:rPr>
          <w:rFonts w:hint="eastAsia" w:ascii="宋体" w:hAnsi="宋体" w:cs="宋体"/>
          <w:color w:val="auto"/>
          <w:sz w:val="24"/>
          <w:highlight w:val="none"/>
        </w:rPr>
        <w:t>采购单位地址：吉林省长春市二道区自由大路6699号</w:t>
      </w:r>
    </w:p>
    <w:p>
      <w:pPr>
        <w:spacing w:line="360" w:lineRule="auto"/>
        <w:jc w:val="left"/>
        <w:rPr>
          <w:rFonts w:ascii="宋体" w:hAnsi="宋体" w:cs="宋体"/>
          <w:color w:val="auto"/>
          <w:sz w:val="24"/>
          <w:highlight w:val="none"/>
        </w:rPr>
      </w:pPr>
      <w:r>
        <w:rPr>
          <w:rFonts w:hint="eastAsia" w:ascii="宋体" w:hAnsi="宋体" w:cs="宋体"/>
          <w:color w:val="auto"/>
          <w:sz w:val="24"/>
          <w:highlight w:val="none"/>
        </w:rPr>
        <w:t xml:space="preserve">采购单位联系人：吴忪          </w:t>
      </w:r>
    </w:p>
    <w:p>
      <w:pPr>
        <w:spacing w:line="360" w:lineRule="auto"/>
        <w:jc w:val="left"/>
        <w:rPr>
          <w:rFonts w:ascii="宋体" w:hAnsi="宋体" w:cs="宋体"/>
          <w:color w:val="auto"/>
          <w:sz w:val="24"/>
          <w:highlight w:val="none"/>
        </w:rPr>
      </w:pPr>
      <w:r>
        <w:rPr>
          <w:rFonts w:hint="eastAsia" w:ascii="宋体" w:hAnsi="宋体" w:cs="宋体"/>
          <w:color w:val="auto"/>
          <w:sz w:val="24"/>
          <w:highlight w:val="none"/>
        </w:rPr>
        <w:t xml:space="preserve">联系电话：0431-84895193                 </w:t>
      </w:r>
    </w:p>
    <w:p>
      <w:pPr>
        <w:spacing w:line="360" w:lineRule="auto"/>
        <w:jc w:val="left"/>
        <w:rPr>
          <w:rFonts w:ascii="宋体" w:hAnsi="宋体" w:cs="宋体"/>
          <w:color w:val="auto"/>
          <w:sz w:val="24"/>
          <w:highlight w:val="none"/>
        </w:rPr>
      </w:pPr>
      <w:r>
        <w:rPr>
          <w:rFonts w:hint="eastAsia" w:ascii="宋体" w:hAnsi="宋体" w:cs="宋体"/>
          <w:color w:val="auto"/>
          <w:sz w:val="24"/>
          <w:highlight w:val="none"/>
        </w:rPr>
        <w:t>9.2.采购代理机构信息</w:t>
      </w:r>
      <w:bookmarkEnd w:id="32"/>
      <w:bookmarkEnd w:id="33"/>
    </w:p>
    <w:p>
      <w:pPr>
        <w:spacing w:line="360" w:lineRule="auto"/>
        <w:rPr>
          <w:rFonts w:hint="eastAsia" w:ascii="宋体" w:hAnsi="宋体" w:eastAsia="宋体" w:cs="宋体"/>
          <w:color w:val="auto"/>
          <w:sz w:val="24"/>
          <w:highlight w:val="none"/>
          <w:lang w:eastAsia="zh-CN"/>
        </w:rPr>
      </w:pPr>
      <w:bookmarkStart w:id="34" w:name="_Toc28359010"/>
      <w:bookmarkStart w:id="35" w:name="_Toc28359087"/>
      <w:r>
        <w:rPr>
          <w:rFonts w:hint="eastAsia" w:ascii="宋体" w:hAnsi="宋体" w:cs="宋体"/>
          <w:color w:val="auto"/>
          <w:sz w:val="24"/>
          <w:highlight w:val="none"/>
        </w:rPr>
        <w:t xml:space="preserve">采购代理机构：中峪国际项目管理有限公司 </w:t>
      </w:r>
    </w:p>
    <w:p>
      <w:pPr>
        <w:spacing w:line="360" w:lineRule="auto"/>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rPr>
        <w:t>地    址：</w:t>
      </w:r>
      <w:r>
        <w:rPr>
          <w:rFonts w:hint="eastAsia" w:ascii="宋体" w:hAnsi="宋体" w:cs="宋体"/>
          <w:color w:val="auto"/>
          <w:sz w:val="24"/>
          <w:highlight w:val="none"/>
          <w:lang w:eastAsia="zh-CN"/>
        </w:rPr>
        <w:t>长春市经开区浦东路12号虹湾国际A座15层</w:t>
      </w:r>
    </w:p>
    <w:p>
      <w:pPr>
        <w:spacing w:line="360" w:lineRule="auto"/>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联系方式：</w:t>
      </w:r>
      <w:r>
        <w:rPr>
          <w:rFonts w:hint="eastAsia" w:ascii="宋体" w:hAnsi="宋体" w:cs="宋体"/>
          <w:color w:val="auto"/>
          <w:sz w:val="24"/>
          <w:highlight w:val="none"/>
          <w:lang w:val="en-US" w:eastAsia="zh-CN"/>
        </w:rPr>
        <w:t>17767728616</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18686601880（办公电话）</w:t>
      </w:r>
    </w:p>
    <w:p>
      <w:pPr>
        <w:spacing w:line="360" w:lineRule="auto"/>
        <w:rPr>
          <w:rFonts w:ascii="宋体" w:hAnsi="宋体" w:cs="宋体"/>
          <w:color w:val="auto"/>
          <w:sz w:val="24"/>
          <w:highlight w:val="none"/>
          <w:u w:val="single"/>
        </w:rPr>
      </w:pPr>
      <w:r>
        <w:rPr>
          <w:rFonts w:hint="eastAsia" w:ascii="宋体" w:hAnsi="宋体" w:cs="宋体"/>
          <w:color w:val="auto"/>
          <w:sz w:val="24"/>
          <w:highlight w:val="none"/>
        </w:rPr>
        <w:t>9.3.项目联系方式</w:t>
      </w:r>
      <w:bookmarkEnd w:id="34"/>
      <w:bookmarkEnd w:id="35"/>
    </w:p>
    <w:p>
      <w:pPr>
        <w:pStyle w:val="11"/>
        <w:spacing w:line="360" w:lineRule="auto"/>
        <w:rPr>
          <w:rFonts w:hint="default" w:hAnsi="宋体" w:eastAsia="宋体" w:cs="宋体"/>
          <w:color w:val="auto"/>
          <w:sz w:val="24"/>
          <w:szCs w:val="24"/>
          <w:highlight w:val="none"/>
          <w:lang w:val="en-US" w:eastAsia="zh-CN"/>
        </w:rPr>
      </w:pPr>
      <w:r>
        <w:rPr>
          <w:rFonts w:hAnsi="宋体" w:cs="宋体"/>
          <w:color w:val="auto"/>
          <w:sz w:val="24"/>
          <w:szCs w:val="24"/>
          <w:highlight w:val="none"/>
        </w:rPr>
        <w:t>项目联系人：</w:t>
      </w:r>
      <w:r>
        <w:rPr>
          <w:rFonts w:hint="eastAsia" w:hAnsi="宋体" w:cs="宋体"/>
          <w:color w:val="auto"/>
          <w:sz w:val="24"/>
          <w:szCs w:val="24"/>
          <w:highlight w:val="none"/>
          <w:lang w:val="en-US" w:eastAsia="zh-CN"/>
        </w:rPr>
        <w:t>梁雪</w:t>
      </w:r>
    </w:p>
    <w:p>
      <w:pPr>
        <w:pStyle w:val="11"/>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电　话：</w:t>
      </w:r>
      <w:r>
        <w:rPr>
          <w:rFonts w:hint="eastAsia" w:hAnsi="宋体" w:cs="宋体"/>
          <w:color w:val="auto"/>
          <w:sz w:val="24"/>
          <w:szCs w:val="24"/>
          <w:highlight w:val="none"/>
          <w:lang w:val="en-US" w:eastAsia="zh-CN"/>
        </w:rPr>
        <w:t>17767728616</w:t>
      </w:r>
      <w:r>
        <w:rPr>
          <w:rFonts w:hint="eastAsia" w:ascii="宋体" w:hAnsi="宋体" w:eastAsia="宋体" w:cs="宋体"/>
          <w:color w:val="auto"/>
          <w:sz w:val="24"/>
          <w:szCs w:val="24"/>
          <w:highlight w:val="none"/>
          <w:lang w:val="en-US" w:eastAsia="zh-CN"/>
        </w:rPr>
        <w:t>/18686601880</w:t>
      </w:r>
      <w:r>
        <w:rPr>
          <w:rFonts w:hint="eastAsia" w:ascii="宋体" w:hAnsi="宋体" w:cs="宋体"/>
          <w:color w:val="auto"/>
          <w:sz w:val="24"/>
          <w:highlight w:val="none"/>
          <w:lang w:val="en-US" w:eastAsia="zh-CN"/>
        </w:rPr>
        <w:t>（办公电话）</w:t>
      </w:r>
    </w:p>
    <w:p>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szCs w:val="24"/>
          <w:highlight w:val="none"/>
          <w:lang w:val="en-US" w:eastAsia="zh-CN"/>
        </w:rPr>
        <w:t>9.4.监督部门信息：吉林省财政厅政府采购管理处</w:t>
      </w:r>
    </w:p>
    <w:p>
      <w:pPr>
        <w:pStyle w:val="3"/>
        <w:bidi w:val="0"/>
        <w:spacing w:line="240" w:lineRule="auto"/>
        <w:jc w:val="center"/>
        <w:rPr>
          <w:rFonts w:hint="eastAsia"/>
          <w:color w:val="auto"/>
          <w:highlight w:val="none"/>
          <w:lang w:eastAsia="zh-CN"/>
        </w:rPr>
      </w:pPr>
      <w:bookmarkStart w:id="36" w:name="_Toc28503"/>
      <w:r>
        <w:rPr>
          <w:rFonts w:hint="eastAsia"/>
          <w:color w:val="auto"/>
          <w:highlight w:val="none"/>
        </w:rPr>
        <w:t>第二章</w:t>
      </w:r>
      <w:r>
        <w:rPr>
          <w:rFonts w:hint="eastAsia"/>
          <w:color w:val="auto"/>
          <w:highlight w:val="none"/>
          <w:lang w:val="en-US" w:eastAsia="zh-CN"/>
        </w:rPr>
        <w:t xml:space="preserve"> </w:t>
      </w:r>
      <w:r>
        <w:rPr>
          <w:rFonts w:hint="eastAsia"/>
          <w:color w:val="auto"/>
          <w:highlight w:val="none"/>
        </w:rPr>
        <w:t>投标人须知</w:t>
      </w:r>
      <w:r>
        <w:rPr>
          <w:rFonts w:hint="eastAsia"/>
          <w:color w:val="auto"/>
          <w:highlight w:val="none"/>
          <w:lang w:eastAsia="zh-CN"/>
        </w:rPr>
        <w:t>前附表</w:t>
      </w:r>
      <w:bookmarkEnd w:id="36"/>
    </w:p>
    <w:p>
      <w:pPr>
        <w:spacing w:line="240" w:lineRule="auto"/>
        <w:ind w:firstLine="480" w:firstLineChars="200"/>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本表的内容是对投标人须知的具体补充，如有矛盾，以本表为准。</w:t>
      </w:r>
    </w:p>
    <w:tbl>
      <w:tblPr>
        <w:tblStyle w:val="22"/>
        <w:tblW w:w="1032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04"/>
        <w:gridCol w:w="1547"/>
        <w:gridCol w:w="807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22" w:hRule="atLeast"/>
          <w:jc w:val="center"/>
        </w:trPr>
        <w:tc>
          <w:tcPr>
            <w:tcW w:w="2251" w:type="dxa"/>
            <w:gridSpan w:val="2"/>
            <w:tcBorders>
              <w:top w:val="single" w:color="auto" w:sz="12"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条款号</w:t>
            </w:r>
          </w:p>
        </w:tc>
        <w:tc>
          <w:tcPr>
            <w:tcW w:w="8078" w:type="dxa"/>
            <w:tcBorders>
              <w:top w:val="single" w:color="auto" w:sz="12"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10329" w:type="dxa"/>
            <w:gridSpan w:val="3"/>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说明</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77" w:hRule="atLeast"/>
          <w:jc w:val="center"/>
        </w:trPr>
        <w:tc>
          <w:tcPr>
            <w:tcW w:w="2251" w:type="dxa"/>
            <w:gridSpan w:val="2"/>
            <w:tcBorders>
              <w:bottom w:val="single" w:color="auto" w:sz="4" w:space="0"/>
            </w:tcBorders>
            <w:noWrap w:val="0"/>
            <w:vAlign w:val="center"/>
          </w:tcPr>
          <w:p>
            <w:pPr>
              <w:spacing w:line="360" w:lineRule="exact"/>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项目名称</w:t>
            </w:r>
          </w:p>
        </w:tc>
        <w:tc>
          <w:tcPr>
            <w:tcW w:w="8078" w:type="dxa"/>
            <w:tcBorders>
              <w:bottom w:val="single" w:color="auto" w:sz="4" w:space="0"/>
            </w:tcBorders>
            <w:noWrap w:val="0"/>
            <w:vAlign w:val="center"/>
          </w:tcPr>
          <w:p>
            <w:pPr>
              <w:spacing w:line="360" w:lineRule="exact"/>
              <w:jc w:val="left"/>
              <w:rPr>
                <w:rFonts w:hint="eastAsia" w:ascii="宋体" w:hAnsi="宋体" w:eastAsia="宋体" w:cs="宋体"/>
                <w:b w:val="0"/>
                <w:bCs w:val="0"/>
                <w:color w:val="auto"/>
                <w:sz w:val="24"/>
                <w:szCs w:val="24"/>
                <w:highlight w:val="none"/>
              </w:rPr>
            </w:pPr>
            <w:r>
              <w:rPr>
                <w:rFonts w:hint="eastAsia" w:ascii="宋体" w:hAnsi="宋体" w:cs="宋体"/>
                <w:b w:val="0"/>
                <w:bCs w:val="0"/>
                <w:color w:val="auto"/>
                <w:sz w:val="24"/>
                <w:szCs w:val="24"/>
                <w:highlight w:val="none"/>
                <w:lang w:eastAsia="zh-CN"/>
              </w:rPr>
              <w:t>吉林省消防救援总队2023年战勤保障物资采购项目（</w:t>
            </w:r>
            <w:r>
              <w:rPr>
                <w:rFonts w:hint="eastAsia" w:ascii="宋体" w:hAnsi="宋体" w:cs="宋体"/>
                <w:b w:val="0"/>
                <w:bCs w:val="0"/>
                <w:color w:val="auto"/>
                <w:sz w:val="24"/>
                <w:szCs w:val="24"/>
                <w:highlight w:val="none"/>
                <w:lang w:val="en-US" w:eastAsia="zh-CN"/>
              </w:rPr>
              <w:t>二</w:t>
            </w:r>
            <w:r>
              <w:rPr>
                <w:rFonts w:hint="eastAsia" w:ascii="宋体" w:hAnsi="宋体" w:cs="宋体"/>
                <w:b w:val="0"/>
                <w:bCs w:val="0"/>
                <w:color w:val="auto"/>
                <w:sz w:val="24"/>
                <w:szCs w:val="24"/>
                <w:highlight w:val="none"/>
                <w:lang w:eastAsia="zh-CN"/>
              </w:rPr>
              <w:t>）</w:t>
            </w:r>
            <w:r>
              <w:rPr>
                <w:rFonts w:hint="eastAsia" w:ascii="宋体" w:hAnsi="宋体" w:cs="宋体"/>
                <w:b w:val="0"/>
                <w:bCs w:val="0"/>
                <w:color w:val="auto"/>
                <w:sz w:val="24"/>
                <w:szCs w:val="24"/>
                <w:highlight w:val="none"/>
                <w:lang w:val="en-US" w:eastAsia="zh-CN"/>
              </w:rPr>
              <w:t>（四次）</w:t>
            </w:r>
            <w:r>
              <w:rPr>
                <w:rFonts w:hint="eastAsia" w:ascii="宋体" w:hAnsi="宋体" w:eastAsia="宋体" w:cs="宋体"/>
                <w:b w:val="0"/>
                <w:bCs w:val="0"/>
                <w:color w:val="auto"/>
                <w:sz w:val="24"/>
                <w:szCs w:val="24"/>
                <w:highlight w:val="none"/>
              </w:rPr>
              <w:t>第</w:t>
            </w:r>
            <w:r>
              <w:rPr>
                <w:rFonts w:hint="eastAsia" w:ascii="宋体" w:hAnsi="宋体" w:cs="宋体"/>
                <w:b w:val="0"/>
                <w:bCs w:val="0"/>
                <w:color w:val="auto"/>
                <w:sz w:val="24"/>
                <w:szCs w:val="24"/>
                <w:highlight w:val="none"/>
                <w:lang w:eastAsia="zh-CN"/>
              </w:rPr>
              <w:t>九</w:t>
            </w:r>
            <w:r>
              <w:rPr>
                <w:rFonts w:hint="eastAsia" w:ascii="宋体" w:hAnsi="宋体" w:eastAsia="宋体" w:cs="宋体"/>
                <w:b w:val="0"/>
                <w:bCs w:val="0"/>
                <w:color w:val="auto"/>
                <w:sz w:val="24"/>
                <w:szCs w:val="24"/>
                <w:highlight w:val="none"/>
              </w:rPr>
              <w:t>标段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2251" w:type="dxa"/>
            <w:gridSpan w:val="2"/>
            <w:tcBorders>
              <w:top w:val="single" w:color="auto" w:sz="4" w:space="0"/>
            </w:tcBorders>
            <w:noWrap w:val="0"/>
            <w:vAlign w:val="center"/>
          </w:tcPr>
          <w:p>
            <w:pPr>
              <w:spacing w:line="360" w:lineRule="exact"/>
              <w:ind w:firstLine="480" w:firstLineChars="200"/>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lang w:eastAsia="zh-CN"/>
              </w:rPr>
              <w:t>项目</w:t>
            </w:r>
            <w:r>
              <w:rPr>
                <w:rFonts w:hint="eastAsia" w:ascii="宋体" w:hAnsi="宋体" w:eastAsia="宋体" w:cs="宋体"/>
                <w:b w:val="0"/>
                <w:bCs w:val="0"/>
                <w:color w:val="auto"/>
                <w:sz w:val="24"/>
                <w:highlight w:val="none"/>
              </w:rPr>
              <w:t>编号</w:t>
            </w:r>
          </w:p>
        </w:tc>
        <w:tc>
          <w:tcPr>
            <w:tcW w:w="8078" w:type="dxa"/>
            <w:tcBorders>
              <w:top w:val="single" w:color="auto" w:sz="4" w:space="0"/>
            </w:tcBorders>
            <w:noWrap w:val="0"/>
            <w:vAlign w:val="center"/>
          </w:tcPr>
          <w:p>
            <w:pPr>
              <w:spacing w:line="360" w:lineRule="exact"/>
              <w:jc w:val="left"/>
              <w:rPr>
                <w:rFonts w:hint="default"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sz w:val="24"/>
                <w:highlight w:val="none"/>
                <w:lang w:val="en-US" w:eastAsia="zh-CN"/>
              </w:rPr>
              <w:t>ZYGJ-CZHW-23105-9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cs="宋体"/>
                <w:color w:val="auto"/>
                <w:sz w:val="24"/>
                <w:szCs w:val="24"/>
                <w:highlight w:val="none"/>
              </w:rPr>
              <w:t>1</w:t>
            </w:r>
          </w:p>
        </w:tc>
        <w:tc>
          <w:tcPr>
            <w:tcW w:w="1547" w:type="dxa"/>
            <w:tcBorders>
              <w:left w:val="single" w:color="auto" w:sz="4" w:space="0"/>
            </w:tcBorders>
            <w:noWrap w:val="0"/>
            <w:vAlign w:val="center"/>
          </w:tcPr>
          <w:p>
            <w:pPr>
              <w:spacing w:line="36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rPr>
              <w:t>资金来源</w:t>
            </w:r>
          </w:p>
        </w:tc>
        <w:tc>
          <w:tcPr>
            <w:tcW w:w="8078" w:type="dxa"/>
            <w:noWrap w:val="0"/>
            <w:vAlign w:val="center"/>
          </w:tcPr>
          <w:p>
            <w:pPr>
              <w:spacing w:line="360" w:lineRule="exact"/>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sz w:val="24"/>
                <w:szCs w:val="24"/>
                <w:highlight w:val="none"/>
                <w:lang w:eastAsia="zh-CN"/>
              </w:rPr>
              <w:t>财政资金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0"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cs="宋体"/>
                <w:color w:val="auto"/>
                <w:sz w:val="24"/>
                <w:szCs w:val="24"/>
                <w:highlight w:val="none"/>
                <w:lang w:val="en-US" w:eastAsia="zh-CN"/>
              </w:rPr>
              <w:t>2</w:t>
            </w:r>
          </w:p>
        </w:tc>
        <w:tc>
          <w:tcPr>
            <w:tcW w:w="1547" w:type="dxa"/>
            <w:tcBorders>
              <w:left w:val="single" w:color="auto" w:sz="4" w:space="0"/>
            </w:tcBorders>
            <w:noWrap w:val="0"/>
            <w:vAlign w:val="center"/>
          </w:tcPr>
          <w:p>
            <w:pPr>
              <w:spacing w:line="36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rPr>
              <w:t>采购人</w:t>
            </w:r>
          </w:p>
        </w:tc>
        <w:tc>
          <w:tcPr>
            <w:tcW w:w="8078" w:type="dxa"/>
            <w:noWrap w:val="0"/>
            <w:vAlign w:val="center"/>
          </w:tcPr>
          <w:p>
            <w:pPr>
              <w:spacing w:line="360" w:lineRule="exact"/>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rPr>
              <w:t>吉林省消防救援总队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79"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cs="宋体"/>
                <w:color w:val="auto"/>
                <w:sz w:val="24"/>
                <w:szCs w:val="24"/>
                <w:highlight w:val="none"/>
                <w:lang w:val="en-US" w:eastAsia="zh-CN"/>
              </w:rPr>
              <w:t>3</w:t>
            </w:r>
          </w:p>
        </w:tc>
        <w:tc>
          <w:tcPr>
            <w:tcW w:w="1547" w:type="dxa"/>
            <w:tcBorders>
              <w:left w:val="single" w:color="auto" w:sz="4" w:space="0"/>
            </w:tcBorders>
            <w:noWrap w:val="0"/>
            <w:vAlign w:val="center"/>
          </w:tcPr>
          <w:p>
            <w:pPr>
              <w:spacing w:line="36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rPr>
              <w:t>采购代理机构</w:t>
            </w:r>
          </w:p>
        </w:tc>
        <w:tc>
          <w:tcPr>
            <w:tcW w:w="8078" w:type="dxa"/>
            <w:noWrap w:val="0"/>
            <w:vAlign w:val="center"/>
          </w:tcPr>
          <w:p>
            <w:pPr>
              <w:spacing w:line="360" w:lineRule="exact"/>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采购代理机构：</w:t>
            </w:r>
            <w:r>
              <w:rPr>
                <w:rFonts w:hint="eastAsia" w:ascii="宋体" w:hAnsi="宋体" w:cs="宋体"/>
                <w:color w:val="auto"/>
                <w:sz w:val="24"/>
                <w:szCs w:val="24"/>
                <w:highlight w:val="none"/>
              </w:rPr>
              <w:t xml:space="preserve">中峪国际项目管理有限公司 </w:t>
            </w:r>
          </w:p>
          <w:p>
            <w:pPr>
              <w:spacing w:line="360" w:lineRule="exact"/>
              <w:jc w:val="left"/>
              <w:rPr>
                <w:rFonts w:hint="eastAsia" w:ascii="宋体" w:hAnsi="宋体" w:eastAsia="宋体" w:cs="宋体"/>
                <w:color w:val="auto"/>
                <w:sz w:val="24"/>
                <w:szCs w:val="24"/>
                <w:highlight w:val="none"/>
                <w:lang w:val="en-US" w:eastAsia="zh-CN"/>
              </w:rPr>
            </w:pPr>
            <w:r>
              <w:rPr>
                <w:rFonts w:hint="eastAsia" w:ascii="宋体" w:hAnsi="宋体" w:eastAsia="宋体" w:cs="宋体"/>
                <w:b w:val="0"/>
                <w:bCs w:val="0"/>
                <w:color w:val="auto"/>
                <w:sz w:val="24"/>
                <w:szCs w:val="24"/>
                <w:highlight w:val="none"/>
              </w:rPr>
              <w:t>联系地址：</w:t>
            </w:r>
            <w:r>
              <w:rPr>
                <w:rFonts w:hint="eastAsia" w:ascii="宋体" w:hAnsi="宋体" w:cs="宋体"/>
                <w:color w:val="auto"/>
                <w:sz w:val="24"/>
                <w:szCs w:val="24"/>
                <w:highlight w:val="none"/>
                <w:lang w:eastAsia="zh-CN"/>
              </w:rPr>
              <w:t>长春市经开区浦东路12号虹湾国际A座15层</w:t>
            </w:r>
          </w:p>
          <w:p>
            <w:pPr>
              <w:spacing w:line="360" w:lineRule="exact"/>
              <w:jc w:val="left"/>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联系电话：</w:t>
            </w:r>
            <w:r>
              <w:rPr>
                <w:rFonts w:hint="eastAsia" w:ascii="宋体" w:hAnsi="宋体" w:cs="宋体"/>
                <w:color w:val="auto"/>
                <w:sz w:val="24"/>
                <w:szCs w:val="24"/>
                <w:highlight w:val="none"/>
                <w:lang w:val="en-US" w:eastAsia="zh-CN"/>
              </w:rPr>
              <w:t>17767728616</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18686601880</w:t>
            </w:r>
          </w:p>
          <w:p>
            <w:pPr>
              <w:spacing w:line="360" w:lineRule="exact"/>
              <w:jc w:val="left"/>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联 系 人：</w:t>
            </w:r>
            <w:r>
              <w:rPr>
                <w:rFonts w:hint="eastAsia" w:hAnsi="宋体" w:cs="宋体"/>
                <w:color w:val="auto"/>
                <w:sz w:val="24"/>
                <w:szCs w:val="24"/>
                <w:highlight w:val="none"/>
                <w:lang w:val="en-US" w:eastAsia="zh-CN"/>
              </w:rPr>
              <w:t xml:space="preserve">梁雪 </w:t>
            </w:r>
          </w:p>
          <w:p>
            <w:pPr>
              <w:spacing w:line="360" w:lineRule="exact"/>
              <w:jc w:val="left"/>
              <w:rPr>
                <w:rFonts w:hint="default" w:ascii="宋体" w:hAnsi="宋体" w:eastAsia="宋体" w:cs="宋体"/>
                <w:b w:val="0"/>
                <w:bCs w:val="0"/>
                <w:i/>
                <w:iCs/>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rPr>
              <w:t>电子邮件：</w:t>
            </w:r>
            <w:r>
              <w:rPr>
                <w:rFonts w:hint="eastAsia" w:ascii="宋体" w:hAnsi="宋体" w:cs="宋体"/>
                <w:b w:val="0"/>
                <w:bCs w:val="0"/>
                <w:color w:val="auto"/>
                <w:sz w:val="24"/>
                <w:szCs w:val="24"/>
                <w:highlight w:val="none"/>
                <w:lang w:val="en-US" w:eastAsia="zh-CN"/>
              </w:rPr>
              <w:t>805785499</w:t>
            </w:r>
            <w:r>
              <w:rPr>
                <w:rFonts w:hint="eastAsia" w:ascii="宋体" w:hAnsi="宋体" w:eastAsia="宋体" w:cs="宋体"/>
                <w:b w:val="0"/>
                <w:bCs w:val="0"/>
                <w:color w:val="auto"/>
                <w:sz w:val="24"/>
                <w:szCs w:val="24"/>
                <w:highlight w:val="none"/>
                <w:lang w:val="en-US" w:eastAsia="zh-CN"/>
              </w:rPr>
              <w:t>@qq.com</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cs="宋体"/>
                <w:color w:val="auto"/>
                <w:sz w:val="24"/>
                <w:szCs w:val="24"/>
                <w:highlight w:val="none"/>
                <w:lang w:val="en-US" w:eastAsia="zh-CN"/>
              </w:rPr>
              <w:t>4</w:t>
            </w:r>
          </w:p>
        </w:tc>
        <w:tc>
          <w:tcPr>
            <w:tcW w:w="1547" w:type="dxa"/>
            <w:tcBorders>
              <w:left w:val="single" w:color="auto" w:sz="4" w:space="0"/>
              <w:right w:val="single" w:color="auto" w:sz="4" w:space="0"/>
            </w:tcBorders>
            <w:noWrap w:val="0"/>
            <w:vAlign w:val="center"/>
          </w:tcPr>
          <w:p>
            <w:pPr>
              <w:spacing w:line="360" w:lineRule="exact"/>
              <w:jc w:val="left"/>
              <w:rPr>
                <w:rFonts w:hint="eastAsia" w:ascii="宋体" w:hAnsi="宋体" w:cs="宋体"/>
                <w:b w:val="0"/>
                <w:bCs w:val="0"/>
                <w:color w:val="auto"/>
                <w:sz w:val="24"/>
                <w:szCs w:val="24"/>
                <w:highlight w:val="none"/>
                <w:lang w:eastAsia="zh-CN"/>
              </w:rPr>
            </w:pPr>
            <w:r>
              <w:rPr>
                <w:rFonts w:hint="eastAsia" w:ascii="宋体" w:hAnsi="宋体" w:cs="宋体"/>
                <w:b w:val="0"/>
                <w:bCs w:val="0"/>
                <w:color w:val="auto"/>
                <w:sz w:val="24"/>
                <w:szCs w:val="24"/>
                <w:highlight w:val="none"/>
                <w:lang w:eastAsia="zh-CN"/>
              </w:rPr>
              <w:t>*投标人资格</w:t>
            </w:r>
          </w:p>
          <w:p>
            <w:pPr>
              <w:spacing w:line="36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sz w:val="24"/>
                <w:szCs w:val="24"/>
                <w:highlight w:val="none"/>
                <w:lang w:eastAsia="zh-CN"/>
              </w:rPr>
              <w:t>要求</w:t>
            </w:r>
          </w:p>
        </w:tc>
        <w:tc>
          <w:tcPr>
            <w:tcW w:w="8078" w:type="dxa"/>
            <w:tcBorders>
              <w:left w:val="single" w:color="auto" w:sz="4" w:space="0"/>
            </w:tcBorders>
            <w:noWrap w:val="0"/>
            <w:vAlign w:val="top"/>
          </w:tcPr>
          <w:p>
            <w:pPr>
              <w:spacing w:line="360" w:lineRule="exact"/>
              <w:jc w:val="left"/>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1.满足《中华人民共和国政府采购法》第二十二条规定：</w:t>
            </w:r>
          </w:p>
          <w:p>
            <w:pPr>
              <w:spacing w:line="360" w:lineRule="exact"/>
              <w:jc w:val="left"/>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1）具有独立承担民事责任的能力；</w:t>
            </w:r>
          </w:p>
          <w:p>
            <w:pPr>
              <w:spacing w:line="360" w:lineRule="exact"/>
              <w:jc w:val="left"/>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2）具有良好的商业信誉和健全的财务会计制度{提供近三年（2019年-2021年）经会计师事务所或审计机构出具的财务审计报告。（若投标人为2021年以后注册成立的公司，即需提供从成立日期起的财务审计报告；若投标人为2022年以后注册成立的公司，即需提供一份银行资信证明）}；</w:t>
            </w:r>
          </w:p>
          <w:p>
            <w:pPr>
              <w:spacing w:line="360" w:lineRule="exact"/>
              <w:jc w:val="left"/>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3）具有履行合同所必需的设备和专业技术能力（可以提供同类业绩合同或者可以提供承诺书&lt;格式自拟&gt;）；</w:t>
            </w:r>
          </w:p>
          <w:p>
            <w:pPr>
              <w:spacing w:line="360" w:lineRule="exact"/>
              <w:jc w:val="left"/>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4）有依法缴纳税收和社会保障资金的良好记录{提供近一年（2022年6月以后）任意两个月的依法缴纳税收记录和社会保障资金的相关材料（依法免税或不需要缴纳社会保障资金的供应商，应提供相应文件证明其依法免税或不需要缴纳社会保障资金）}；</w:t>
            </w:r>
          </w:p>
          <w:p>
            <w:pPr>
              <w:spacing w:line="360" w:lineRule="exact"/>
              <w:jc w:val="left"/>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5）参加政府采购活动前三年内，在经营活动中没有重大违法记录；</w:t>
            </w:r>
          </w:p>
          <w:p>
            <w:pPr>
              <w:spacing w:line="360" w:lineRule="exact"/>
              <w:jc w:val="left"/>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6）法律、行政法规规定的其他条件。</w:t>
            </w:r>
          </w:p>
          <w:p>
            <w:pPr>
              <w:spacing w:line="360" w:lineRule="exact"/>
              <w:jc w:val="left"/>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2.落实政府采购政策需满足的资格要求：</w:t>
            </w:r>
            <w:r>
              <w:rPr>
                <w:rFonts w:hint="eastAsia" w:ascii="宋体" w:hAnsi="宋体" w:cs="宋体"/>
                <w:bCs/>
                <w:color w:val="auto"/>
                <w:sz w:val="24"/>
                <w:highlight w:val="none"/>
                <w:lang w:val="en-US" w:eastAsia="zh-CN"/>
              </w:rPr>
              <w:t>本项目</w:t>
            </w:r>
            <w:r>
              <w:rPr>
                <w:rFonts w:hint="eastAsia" w:ascii="宋体" w:hAnsi="宋体" w:cs="宋体"/>
                <w:bCs/>
                <w:color w:val="auto"/>
                <w:sz w:val="24"/>
                <w:highlight w:val="none"/>
              </w:rPr>
              <w:t>非专门面向中小企业</w:t>
            </w:r>
            <w:r>
              <w:rPr>
                <w:rFonts w:hint="eastAsia" w:ascii="宋体" w:hAnsi="宋体" w:cs="宋体"/>
                <w:bCs/>
                <w:color w:val="auto"/>
                <w:sz w:val="24"/>
                <w:highlight w:val="none"/>
                <w:lang w:val="en-US" w:eastAsia="zh-CN"/>
              </w:rPr>
              <w:t>采购</w:t>
            </w:r>
            <w:r>
              <w:rPr>
                <w:rFonts w:hint="eastAsia" w:ascii="宋体" w:hAnsi="宋体" w:cs="宋体"/>
                <w:b w:val="0"/>
                <w:bCs w:val="0"/>
                <w:color w:val="auto"/>
                <w:sz w:val="24"/>
                <w:szCs w:val="24"/>
                <w:highlight w:val="none"/>
                <w:lang w:val="en-US" w:eastAsia="zh-CN"/>
              </w:rPr>
              <w:t>；</w:t>
            </w:r>
          </w:p>
          <w:p>
            <w:pPr>
              <w:spacing w:line="360" w:lineRule="exact"/>
              <w:jc w:val="left"/>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3.本项目的特定资格要求：</w:t>
            </w:r>
          </w:p>
          <w:p>
            <w:pPr>
              <w:spacing w:line="360" w:lineRule="exact"/>
              <w:jc w:val="left"/>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投标人应当通过“信用中国”网站（www.creditchina.gov.cn）、中国政府采购网（www.ccgp.gov.cn）等渠道查询相关主体信用记录，对列入失信被执行人、重大税收违法案件失信主体、政府采购严重违法失信行为记录名单及其他不符合《中华人民共和国政府采购法》第二十二条规定条件的供应商，应当拒绝其参与政府采购活动；</w:t>
            </w:r>
          </w:p>
          <w:p>
            <w:pPr>
              <w:spacing w:line="360" w:lineRule="exact"/>
              <w:jc w:val="left"/>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2）单位负责人为同一人或存在直接控股、管理关系的不同供应商，不得参加同一合同项下的政府采购活动。</w:t>
            </w:r>
          </w:p>
          <w:p>
            <w:pPr>
              <w:spacing w:line="360" w:lineRule="exact"/>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sz w:val="24"/>
                <w:szCs w:val="24"/>
                <w:highlight w:val="none"/>
                <w:lang w:val="en-US" w:eastAsia="zh-CN"/>
              </w:rPr>
              <w:t>除单一来源采购项目外，为采购项目提供整体设计、规范编制或者项目管理、监理、检测等服务的供应商，不得再参加该采购项目的其他采购活动。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5"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5</w:t>
            </w:r>
          </w:p>
        </w:tc>
        <w:tc>
          <w:tcPr>
            <w:tcW w:w="1547" w:type="dxa"/>
            <w:tcBorders>
              <w:left w:val="single" w:color="auto" w:sz="4" w:space="0"/>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招标文件的</w:t>
            </w:r>
          </w:p>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获取</w:t>
            </w:r>
          </w:p>
        </w:tc>
        <w:tc>
          <w:tcPr>
            <w:tcW w:w="8078" w:type="dxa"/>
            <w:tcBorders>
              <w:left w:val="single" w:color="auto" w:sz="4" w:space="0"/>
            </w:tcBorders>
            <w:noWrap w:val="0"/>
            <w:vAlign w:val="top"/>
          </w:tcPr>
          <w:p>
            <w:pPr>
              <w:spacing w:line="360" w:lineRule="exact"/>
              <w:rPr>
                <w:rFonts w:hint="eastAsia" w:ascii="宋体" w:hAnsi="宋体" w:eastAsia="宋体" w:cs="宋体"/>
                <w:b w:val="0"/>
                <w:bCs w:val="0"/>
                <w:color w:val="auto"/>
                <w:spacing w:val="6"/>
                <w:sz w:val="24"/>
                <w:szCs w:val="24"/>
                <w:highlight w:val="none"/>
              </w:rPr>
            </w:pPr>
            <w:r>
              <w:rPr>
                <w:rFonts w:hint="eastAsia" w:ascii="宋体" w:hAnsi="宋体" w:eastAsia="宋体" w:cs="宋体"/>
                <w:b w:val="0"/>
                <w:bCs w:val="0"/>
                <w:color w:val="auto"/>
                <w:spacing w:val="6"/>
                <w:sz w:val="24"/>
                <w:szCs w:val="24"/>
                <w:highlight w:val="none"/>
              </w:rPr>
              <w:t>未在吉林省公共资源交易中心网领取招标文件和点击确认参加投标的均无资格参加投标。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5"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6</w:t>
            </w:r>
          </w:p>
        </w:tc>
        <w:tc>
          <w:tcPr>
            <w:tcW w:w="1547" w:type="dxa"/>
            <w:tcBorders>
              <w:left w:val="single" w:color="auto" w:sz="4" w:space="0"/>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招标范围</w:t>
            </w:r>
          </w:p>
        </w:tc>
        <w:tc>
          <w:tcPr>
            <w:tcW w:w="8078" w:type="dxa"/>
            <w:tcBorders>
              <w:left w:val="single" w:color="auto" w:sz="4" w:space="0"/>
            </w:tcBorders>
            <w:noWrap w:val="0"/>
            <w:vAlign w:val="center"/>
          </w:tcPr>
          <w:p>
            <w:pPr>
              <w:spacing w:line="360" w:lineRule="exact"/>
              <w:rPr>
                <w:rFonts w:hint="default" w:ascii="宋体" w:hAnsi="宋体" w:eastAsia="宋体" w:cs="宋体"/>
                <w:b w:val="0"/>
                <w:bCs w:val="0"/>
                <w:color w:val="auto"/>
                <w:sz w:val="24"/>
                <w:szCs w:val="24"/>
                <w:highlight w:val="none"/>
                <w:lang w:val="en-US" w:eastAsia="zh-CN"/>
              </w:rPr>
            </w:pPr>
            <w:r>
              <w:rPr>
                <w:rFonts w:hint="eastAsia" w:ascii="宋体" w:hAnsi="宋体" w:cs="宋体"/>
                <w:bCs/>
                <w:color w:val="auto"/>
                <w:sz w:val="24"/>
                <w:szCs w:val="24"/>
                <w:highlight w:val="none"/>
                <w:lang w:val="en-US" w:eastAsia="zh-CN"/>
              </w:rPr>
              <w:t>详见招标公告1.7采购需求</w:t>
            </w:r>
            <w:r>
              <w:rPr>
                <w:rFonts w:hint="eastAsia" w:ascii="宋体" w:hAnsi="宋体" w:cs="宋体"/>
                <w:b/>
                <w:bCs w:val="0"/>
                <w:color w:val="auto"/>
                <w:sz w:val="24"/>
                <w:szCs w:val="24"/>
                <w:highlight w:val="none"/>
                <w:lang w:val="en-US" w:eastAsia="zh-CN"/>
              </w:rPr>
              <w:t>(核心产品：热成像空气呼吸器）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0"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7</w:t>
            </w:r>
          </w:p>
        </w:tc>
        <w:tc>
          <w:tcPr>
            <w:tcW w:w="1547" w:type="dxa"/>
            <w:tcBorders>
              <w:left w:val="single" w:color="auto" w:sz="4" w:space="0"/>
              <w:right w:val="single" w:color="auto" w:sz="4" w:space="0"/>
            </w:tcBorders>
            <w:noWrap w:val="0"/>
            <w:vAlign w:val="center"/>
          </w:tcPr>
          <w:p>
            <w:pPr>
              <w:spacing w:line="36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rPr>
              <w:t>*构成投标文件的其他材料</w:t>
            </w:r>
          </w:p>
        </w:tc>
        <w:tc>
          <w:tcPr>
            <w:tcW w:w="8078" w:type="dxa"/>
            <w:tcBorders>
              <w:left w:val="single" w:color="auto" w:sz="4" w:space="0"/>
            </w:tcBorders>
            <w:noWrap w:val="0"/>
            <w:vAlign w:val="center"/>
          </w:tcPr>
          <w:p>
            <w:pPr>
              <w:spacing w:line="360" w:lineRule="exact"/>
              <w:jc w:val="left"/>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投标人应符合招标公告中投标人资格要求，并将以下资料的加盖公章复印件装订到投标文件中，证明其资格满足招标资格要求：</w:t>
            </w:r>
          </w:p>
          <w:p>
            <w:pPr>
              <w:spacing w:line="360" w:lineRule="exact"/>
              <w:jc w:val="left"/>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 ）营业执照副本；</w:t>
            </w:r>
          </w:p>
          <w:p>
            <w:pPr>
              <w:spacing w:line="360" w:lineRule="exact"/>
              <w:jc w:val="left"/>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2 ）《单位负责人证明书》（附单位负责人身份证）或单位负责人授权委托书（附单位负责人和授权代表身份证）；</w:t>
            </w:r>
          </w:p>
          <w:p>
            <w:pPr>
              <w:spacing w:line="360" w:lineRule="exact"/>
              <w:jc w:val="left"/>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3 ）具有履行合同所必需的设备和专业技术能力的证明材料（可以提供</w:t>
            </w:r>
            <w:r>
              <w:rPr>
                <w:rFonts w:hint="default" w:ascii="宋体" w:hAnsi="宋体" w:cs="宋体"/>
                <w:b w:val="0"/>
                <w:bCs w:val="0"/>
                <w:color w:val="auto"/>
                <w:sz w:val="24"/>
                <w:szCs w:val="24"/>
                <w:highlight w:val="none"/>
                <w:lang w:val="en-US" w:eastAsia="zh-CN"/>
              </w:rPr>
              <w:t>类似</w:t>
            </w:r>
            <w:r>
              <w:rPr>
                <w:rFonts w:hint="eastAsia" w:ascii="宋体" w:hAnsi="宋体" w:cs="宋体"/>
                <w:b w:val="0"/>
                <w:bCs w:val="0"/>
                <w:color w:val="auto"/>
                <w:sz w:val="24"/>
                <w:szCs w:val="24"/>
                <w:highlight w:val="none"/>
                <w:lang w:val="en-US" w:eastAsia="zh-CN"/>
              </w:rPr>
              <w:t>业绩合同或者可以提供承诺书&lt;格式自拟&gt;）；</w:t>
            </w:r>
          </w:p>
          <w:p>
            <w:pPr>
              <w:spacing w:line="360" w:lineRule="exact"/>
              <w:jc w:val="left"/>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4 ）参加政府采购活动前3年内在经营活动中没有重大违法记录的书面声明书（格式自拟）；</w:t>
            </w:r>
          </w:p>
          <w:p>
            <w:pPr>
              <w:spacing w:line="360" w:lineRule="exact"/>
              <w:jc w:val="left"/>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5 ）供应商提供近三年（2019年-2021年）经会计师事务所或审计机构出具的财务审计报告。（若投标人为2019年以后注册成立的公司，即需提供从成立日期起的财务审计报告；若投标人为2022年以后注册成立的公司，即需提供一份银行资信证明）、提供近一年（2022年6月以后）任意两个月的依法缴纳税收和社会保障资金的相关材料(依法免税或不需要缴纳社会保障资金的供应商，应提供相应文件证明其依法免税或不需要缴纳社会保障资金）；</w:t>
            </w:r>
          </w:p>
          <w:p>
            <w:pPr>
              <w:spacing w:line="360" w:lineRule="exact"/>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sz w:val="24"/>
                <w:szCs w:val="24"/>
                <w:highlight w:val="none"/>
                <w:lang w:val="en-US" w:eastAsia="zh-CN"/>
              </w:rPr>
              <w:t>6 ）投标人不能列入失信被执行人、重大税收违法案件当事人名单、政府采购严重违法失信行为记录名单；(须提供承诺书，格式自拟)。（详见财库【2016】125号)查询截止时点：本项目招标公告发布之日起到投标截止时间期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4"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kern w:val="2"/>
                <w:sz w:val="24"/>
                <w:szCs w:val="24"/>
                <w:highlight w:val="none"/>
                <w:lang w:val="en-US" w:eastAsia="zh-CN" w:bidi="ar-SA"/>
              </w:rPr>
              <w:t>8</w:t>
            </w:r>
          </w:p>
        </w:tc>
        <w:tc>
          <w:tcPr>
            <w:tcW w:w="1547" w:type="dxa"/>
            <w:tcBorders>
              <w:left w:val="single" w:color="auto" w:sz="4" w:space="0"/>
              <w:right w:val="single" w:color="auto" w:sz="4" w:space="0"/>
            </w:tcBorders>
            <w:noWrap w:val="0"/>
            <w:vAlign w:val="center"/>
          </w:tcPr>
          <w:p>
            <w:pPr>
              <w:spacing w:line="36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rPr>
              <w:t>*交货地点</w:t>
            </w:r>
          </w:p>
        </w:tc>
        <w:tc>
          <w:tcPr>
            <w:tcW w:w="8078" w:type="dxa"/>
            <w:tcBorders>
              <w:left w:val="single" w:color="auto" w:sz="4" w:space="0"/>
            </w:tcBorders>
            <w:noWrap w:val="0"/>
            <w:vAlign w:val="top"/>
          </w:tcPr>
          <w:p>
            <w:pPr>
              <w:spacing w:line="360" w:lineRule="exact"/>
              <w:rPr>
                <w:rFonts w:hint="eastAsia"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sz w:val="24"/>
                <w:szCs w:val="24"/>
                <w:highlight w:val="none"/>
                <w:lang w:val="en-US" w:eastAsia="zh-CN"/>
              </w:rPr>
              <w:t>吉林省消防救援总队指定地点，中标人负责将货物安全完好运抵交货地点（货物在途中的一切风险及运输、卸货等费用由乙方承担）并保证验收合格。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4"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9</w:t>
            </w:r>
          </w:p>
        </w:tc>
        <w:tc>
          <w:tcPr>
            <w:tcW w:w="1547" w:type="dxa"/>
            <w:tcBorders>
              <w:left w:val="single" w:color="auto" w:sz="4" w:space="0"/>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*交货期限</w:t>
            </w:r>
          </w:p>
        </w:tc>
        <w:tc>
          <w:tcPr>
            <w:tcW w:w="8078" w:type="dxa"/>
            <w:tcBorders>
              <w:left w:val="single" w:color="auto" w:sz="4" w:space="0"/>
            </w:tcBorders>
            <w:noWrap w:val="0"/>
            <w:vAlign w:val="top"/>
          </w:tcPr>
          <w:p>
            <w:pPr>
              <w:spacing w:line="360" w:lineRule="exact"/>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合同签订后四个月内履行完毕；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lang w:val="en-US" w:eastAsia="zh-CN"/>
              </w:rPr>
              <w:t>10</w:t>
            </w:r>
          </w:p>
        </w:tc>
        <w:tc>
          <w:tcPr>
            <w:tcW w:w="1547" w:type="dxa"/>
            <w:tcBorders>
              <w:left w:val="single" w:color="auto" w:sz="4" w:space="0"/>
              <w:right w:val="single" w:color="auto" w:sz="4" w:space="0"/>
            </w:tcBorders>
            <w:noWrap w:val="0"/>
            <w:vAlign w:val="center"/>
          </w:tcPr>
          <w:p>
            <w:pPr>
              <w:spacing w:line="360" w:lineRule="exact"/>
              <w:jc w:val="center"/>
              <w:outlineLvl w:val="9"/>
              <w:rPr>
                <w:rFonts w:hint="eastAsia" w:ascii="宋体" w:hAnsi="宋体" w:eastAsia="宋体" w:cs="宋体"/>
                <w:b w:val="0"/>
                <w:bCs w:val="0"/>
                <w:color w:val="0000FF"/>
                <w:kern w:val="2"/>
                <w:sz w:val="24"/>
                <w:szCs w:val="24"/>
                <w:highlight w:val="none"/>
                <w:lang w:val="en-US" w:eastAsia="zh-CN" w:bidi="ar-SA"/>
              </w:rPr>
            </w:pPr>
            <w:r>
              <w:rPr>
                <w:rFonts w:hint="eastAsia" w:ascii="宋体" w:hAnsi="宋体" w:eastAsia="宋体" w:cs="宋体"/>
                <w:b w:val="0"/>
                <w:bCs w:val="0"/>
                <w:color w:val="auto"/>
                <w:sz w:val="24"/>
                <w:highlight w:val="none"/>
              </w:rPr>
              <w:t>*验收方式</w:t>
            </w:r>
          </w:p>
        </w:tc>
        <w:tc>
          <w:tcPr>
            <w:tcW w:w="8078" w:type="dxa"/>
            <w:tcBorders>
              <w:left w:val="single" w:color="auto" w:sz="4" w:space="0"/>
            </w:tcBorders>
            <w:noWrap w:val="0"/>
            <w:vAlign w:val="top"/>
          </w:tcPr>
          <w:p>
            <w:pPr>
              <w:spacing w:line="360" w:lineRule="exact"/>
              <w:outlineLvl w:val="9"/>
              <w:rPr>
                <w:rFonts w:hint="eastAsia" w:ascii="宋体" w:hAnsi="宋体" w:eastAsia="宋体" w:cs="宋体"/>
                <w:sz w:val="24"/>
                <w:highlight w:val="none"/>
              </w:rPr>
            </w:pPr>
            <w:r>
              <w:rPr>
                <w:rFonts w:hint="eastAsia" w:ascii="宋体" w:hAnsi="宋体" w:eastAsia="宋体" w:cs="宋体"/>
                <w:sz w:val="24"/>
                <w:highlight w:val="none"/>
              </w:rPr>
              <w:t>1</w:t>
            </w:r>
            <w:r>
              <w:rPr>
                <w:rFonts w:hint="eastAsia" w:ascii="宋体" w:hAnsi="宋体" w:eastAsia="宋体" w:cs="宋体"/>
                <w:sz w:val="24"/>
                <w:highlight w:val="none"/>
                <w:lang w:eastAsia="zh-CN"/>
              </w:rPr>
              <w:t>）</w:t>
            </w:r>
            <w:r>
              <w:rPr>
                <w:rFonts w:hint="eastAsia" w:ascii="宋体" w:hAnsi="宋体" w:eastAsia="宋体" w:cs="宋体"/>
                <w:sz w:val="24"/>
                <w:highlight w:val="none"/>
              </w:rPr>
              <w:t>乙方提交的货物到货后</w:t>
            </w:r>
            <w:r>
              <w:rPr>
                <w:rFonts w:hint="eastAsia" w:ascii="宋体" w:hAnsi="宋体" w:eastAsia="宋体" w:cs="宋体"/>
                <w:sz w:val="24"/>
                <w:highlight w:val="none"/>
                <w:lang w:val="en-US" w:eastAsia="zh-CN"/>
              </w:rPr>
              <w:t>3</w:t>
            </w:r>
            <w:r>
              <w:rPr>
                <w:rFonts w:hint="eastAsia" w:ascii="宋体" w:hAnsi="宋体" w:eastAsia="宋体" w:cs="宋体"/>
                <w:sz w:val="24"/>
                <w:highlight w:val="none"/>
              </w:rPr>
              <w:t>0个工作日内甲方负责检验验收或由甲方聘请当地质检（商检）部门或国家有关部门对货物的品种、规格、性能、质量、数量、外观以及配件等进行检验，并出具检验证书，检验费用由乙方承担。</w:t>
            </w:r>
          </w:p>
          <w:p>
            <w:pPr>
              <w:spacing w:line="360" w:lineRule="exact"/>
              <w:outlineLvl w:val="9"/>
              <w:rPr>
                <w:rFonts w:hint="eastAsia" w:ascii="宋体" w:hAnsi="宋体" w:eastAsia="宋体" w:cs="宋体"/>
                <w:sz w:val="24"/>
                <w:highlight w:val="none"/>
              </w:rPr>
            </w:pPr>
            <w:r>
              <w:rPr>
                <w:rFonts w:hint="eastAsia" w:ascii="宋体" w:hAnsi="宋体" w:eastAsia="宋体" w:cs="宋体"/>
                <w:sz w:val="24"/>
                <w:highlight w:val="none"/>
              </w:rPr>
              <w:t>2</w:t>
            </w:r>
            <w:r>
              <w:rPr>
                <w:rFonts w:hint="eastAsia" w:ascii="宋体" w:hAnsi="宋体" w:eastAsia="宋体" w:cs="宋体"/>
                <w:sz w:val="24"/>
                <w:highlight w:val="none"/>
                <w:lang w:eastAsia="zh-CN"/>
              </w:rPr>
              <w:t>）</w:t>
            </w:r>
            <w:r>
              <w:rPr>
                <w:rFonts w:hint="eastAsia" w:ascii="宋体" w:hAnsi="宋体" w:eastAsia="宋体" w:cs="宋体"/>
                <w:sz w:val="24"/>
                <w:highlight w:val="none"/>
              </w:rPr>
              <w:t>验收过程中，如果甲乙双方对合同标的质量发生争议，应当聘请国家消防装备质量监督检验中心或国家有关部门对有争议的货物质量进行鉴定，检验费用由责任方承担。按照规定必须由国家有关部门或者机构检验合格才允许使用的货物，由乙方负责（甲方配合）向有关部门或者机构申请检验并取得检验合格的报告（证书）或者使用许可证，费用包含在乙方的合同总价中。</w:t>
            </w:r>
          </w:p>
          <w:p>
            <w:pPr>
              <w:spacing w:line="360" w:lineRule="exact"/>
              <w:outlineLvl w:val="9"/>
              <w:rPr>
                <w:rFonts w:hint="eastAsia" w:ascii="宋体" w:hAnsi="宋体" w:eastAsia="宋体" w:cs="宋体"/>
                <w:sz w:val="24"/>
                <w:highlight w:val="none"/>
              </w:rPr>
            </w:pPr>
            <w:r>
              <w:rPr>
                <w:rFonts w:hint="eastAsia" w:ascii="宋体" w:hAnsi="宋体" w:eastAsia="宋体" w:cs="宋体"/>
                <w:sz w:val="24"/>
                <w:highlight w:val="none"/>
              </w:rPr>
              <w:t>3</w:t>
            </w:r>
            <w:r>
              <w:rPr>
                <w:rFonts w:hint="eastAsia" w:ascii="宋体" w:hAnsi="宋体" w:eastAsia="宋体" w:cs="宋体"/>
                <w:sz w:val="24"/>
                <w:highlight w:val="none"/>
                <w:lang w:eastAsia="zh-CN"/>
              </w:rPr>
              <w:t>）</w:t>
            </w:r>
            <w:r>
              <w:rPr>
                <w:rFonts w:hint="eastAsia" w:ascii="宋体" w:hAnsi="宋体" w:eastAsia="宋体" w:cs="宋体"/>
                <w:sz w:val="24"/>
                <w:highlight w:val="none"/>
              </w:rPr>
              <w:t>验收前，乙方向甲方提供本合同所列明货物金额的发票等文件，验收合格的，乙方与甲方共同在</w:t>
            </w:r>
            <w:r>
              <w:rPr>
                <w:rFonts w:hint="default" w:ascii="宋体" w:hAnsi="宋体" w:eastAsia="宋体" w:cs="宋体"/>
                <w:sz w:val="24"/>
                <w:highlight w:val="none"/>
              </w:rPr>
              <w:t>验收单</w:t>
            </w:r>
            <w:r>
              <w:rPr>
                <w:rFonts w:hint="eastAsia" w:ascii="宋体" w:hAnsi="宋体" w:eastAsia="宋体" w:cs="宋体"/>
                <w:sz w:val="24"/>
                <w:highlight w:val="none"/>
              </w:rPr>
              <w:t>上签字并加盖单位公章，作为验收合格、同意付款的依据。验收不合格的，按照甲方下达的整改通知确定的时间内进行整改，整改后，仍未达到合同约定技术要求的，甲方有权单方解除本合同，所产生的费用由乙方承担，同时甲方有权扣留全部履约保证金，乙方还需额外支付合同总价款的5%</w:t>
            </w:r>
            <w:r>
              <w:rPr>
                <w:rFonts w:hint="eastAsia" w:ascii="宋体" w:hAnsi="宋体" w:eastAsia="宋体" w:cs="宋体"/>
                <w:sz w:val="24"/>
                <w:highlight w:val="none"/>
                <w:lang w:val="en-US" w:eastAsia="zh-CN"/>
              </w:rPr>
              <w:t>作为</w:t>
            </w:r>
            <w:r>
              <w:rPr>
                <w:rFonts w:hint="eastAsia" w:ascii="宋体" w:hAnsi="宋体" w:eastAsia="宋体" w:cs="宋体"/>
                <w:sz w:val="24"/>
                <w:highlight w:val="none"/>
              </w:rPr>
              <w:t>违约金。</w:t>
            </w:r>
          </w:p>
          <w:p>
            <w:pPr>
              <w:spacing w:line="360" w:lineRule="exact"/>
              <w:outlineLvl w:val="9"/>
              <w:rPr>
                <w:rFonts w:hint="default" w:ascii="宋体" w:hAnsi="宋体" w:eastAsia="宋体" w:cs="宋体"/>
                <w:sz w:val="24"/>
                <w:highlight w:val="none"/>
                <w:lang w:val="en-US" w:eastAsia="zh-CN"/>
              </w:rPr>
            </w:pPr>
            <w:r>
              <w:rPr>
                <w:rFonts w:hint="eastAsia" w:ascii="宋体" w:hAnsi="宋体" w:eastAsia="宋体" w:cs="宋体"/>
                <w:sz w:val="24"/>
                <w:highlight w:val="none"/>
                <w:lang w:val="en-US" w:eastAsia="zh-CN"/>
              </w:rPr>
              <w:t>4）</w:t>
            </w:r>
            <w:r>
              <w:rPr>
                <w:rFonts w:hint="eastAsia" w:ascii="宋体" w:hAnsi="宋体" w:eastAsia="宋体" w:cs="宋体"/>
                <w:sz w:val="24"/>
                <w:highlight w:val="none"/>
                <w:lang w:val="en-US" w:eastAsia="zh-Hans"/>
              </w:rPr>
              <w:t>甲方根据国家现行质量标准及行业标准规定接受货物，验收标准以</w:t>
            </w:r>
            <w:r>
              <w:rPr>
                <w:rFonts w:hint="eastAsia" w:ascii="宋体" w:hAnsi="宋体" w:eastAsia="宋体" w:cs="宋体"/>
                <w:sz w:val="24"/>
                <w:highlight w:val="none"/>
                <w:lang w:val="en-US" w:eastAsia="zh-CN"/>
              </w:rPr>
              <w:t>招标文件技术参数资料\中标人的投标文件技术参数资料为标准，如果上述文件有不一致之处，以对甲方有利的为准，同时乙方需提供国家有关质检机构出具的检验报告或证书、制造厂商出具的质量检验证书、产品合格证、消防产品认证证书等手续，否则，甲方有权不予验收。</w:t>
            </w:r>
          </w:p>
          <w:p>
            <w:pPr>
              <w:spacing w:line="360" w:lineRule="exact"/>
              <w:outlineLvl w:val="9"/>
              <w:rPr>
                <w:rFonts w:hint="eastAsia" w:ascii="宋体" w:hAnsi="宋体" w:eastAsia="宋体" w:cs="宋体"/>
                <w:b w:val="0"/>
                <w:bCs w:val="0"/>
                <w:color w:val="0000FF"/>
                <w:kern w:val="2"/>
                <w:sz w:val="24"/>
                <w:szCs w:val="24"/>
                <w:highlight w:val="none"/>
                <w:lang w:val="en-US" w:eastAsia="zh-CN" w:bidi="ar-SA"/>
              </w:rPr>
            </w:pPr>
            <w:r>
              <w:rPr>
                <w:rFonts w:hint="default" w:ascii="宋体" w:hAnsi="宋体" w:eastAsia="宋体" w:cs="宋体"/>
                <w:sz w:val="24"/>
                <w:highlight w:val="none"/>
                <w:lang w:eastAsia="zh-CN"/>
              </w:rPr>
              <w:t>5</w:t>
            </w:r>
            <w:r>
              <w:rPr>
                <w:rFonts w:hint="eastAsia" w:ascii="宋体" w:hAnsi="宋体" w:eastAsia="宋体" w:cs="宋体"/>
                <w:sz w:val="24"/>
                <w:highlight w:val="none"/>
                <w:lang w:eastAsia="zh-CN"/>
              </w:rPr>
              <w:t>）</w:t>
            </w:r>
            <w:r>
              <w:rPr>
                <w:rFonts w:hint="eastAsia" w:ascii="宋体" w:hAnsi="宋体" w:eastAsia="宋体" w:cs="宋体"/>
                <w:sz w:val="24"/>
                <w:highlight w:val="none"/>
              </w:rPr>
              <w:t xml:space="preserve">验收发现恶意提供劣质标的，如以次充好、低于招标技术参数、同批货物中明显有不合格产品等情况，需方无论使用与否，供方应无条件接受退货，并承担所有与认证鉴定有关的全部费用及采购人蒙受的全部直接损失。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87"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11</w:t>
            </w:r>
          </w:p>
        </w:tc>
        <w:tc>
          <w:tcPr>
            <w:tcW w:w="1547" w:type="dxa"/>
            <w:tcBorders>
              <w:left w:val="single" w:color="auto" w:sz="4" w:space="0"/>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*质量要求</w:t>
            </w:r>
          </w:p>
        </w:tc>
        <w:tc>
          <w:tcPr>
            <w:tcW w:w="8078" w:type="dxa"/>
            <w:tcBorders>
              <w:left w:val="single" w:color="auto" w:sz="4" w:space="0"/>
            </w:tcBorders>
            <w:noWrap w:val="0"/>
            <w:vAlign w:val="top"/>
          </w:tcPr>
          <w:p>
            <w:pPr>
              <w:spacing w:line="360" w:lineRule="exac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供方应保证所提供的货物是原制造厂商制造的、经过合法销售渠道取得的，满足采购人服务需求的，详见招标文件第</w:t>
            </w:r>
            <w:r>
              <w:rPr>
                <w:rFonts w:hint="eastAsia" w:ascii="宋体" w:hAnsi="宋体" w:eastAsia="宋体" w:cs="宋体"/>
                <w:b w:val="0"/>
                <w:bCs w:val="0"/>
                <w:color w:val="auto"/>
                <w:sz w:val="24"/>
                <w:szCs w:val="24"/>
                <w:highlight w:val="none"/>
                <w:lang w:eastAsia="zh-CN"/>
              </w:rPr>
              <w:t>五</w:t>
            </w:r>
            <w:r>
              <w:rPr>
                <w:rFonts w:hint="eastAsia" w:ascii="宋体" w:hAnsi="宋体" w:eastAsia="宋体" w:cs="宋体"/>
                <w:b w:val="0"/>
                <w:bCs w:val="0"/>
                <w:color w:val="auto"/>
                <w:sz w:val="24"/>
                <w:szCs w:val="24"/>
                <w:highlight w:val="none"/>
              </w:rPr>
              <w:t>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75"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12</w:t>
            </w:r>
          </w:p>
        </w:tc>
        <w:tc>
          <w:tcPr>
            <w:tcW w:w="1547" w:type="dxa"/>
            <w:tcBorders>
              <w:left w:val="single" w:color="auto" w:sz="4" w:space="0"/>
              <w:right w:val="single" w:color="auto" w:sz="4" w:space="0"/>
            </w:tcBorders>
            <w:noWrap w:val="0"/>
            <w:vAlign w:val="center"/>
          </w:tcPr>
          <w:p>
            <w:pPr>
              <w:spacing w:line="360" w:lineRule="exact"/>
              <w:jc w:val="center"/>
              <w:outlineLvl w:val="9"/>
              <w:rPr>
                <w:rFonts w:hint="eastAsia" w:ascii="宋体" w:hAnsi="宋体" w:eastAsia="宋体" w:cs="宋体"/>
                <w:b w:val="0"/>
                <w:bCs w:val="0"/>
                <w:color w:val="0000FF"/>
                <w:kern w:val="2"/>
                <w:sz w:val="24"/>
                <w:szCs w:val="24"/>
                <w:highlight w:val="none"/>
                <w:lang w:val="en-US" w:eastAsia="zh-CN" w:bidi="ar-SA"/>
              </w:rPr>
            </w:pPr>
            <w:r>
              <w:rPr>
                <w:rFonts w:hint="eastAsia" w:ascii="宋体" w:hAnsi="宋体" w:eastAsia="宋体" w:cs="宋体"/>
                <w:b w:val="0"/>
                <w:bCs w:val="0"/>
                <w:color w:val="auto"/>
                <w:sz w:val="24"/>
                <w:highlight w:val="none"/>
              </w:rPr>
              <w:t>*付款条件</w:t>
            </w:r>
          </w:p>
        </w:tc>
        <w:tc>
          <w:tcPr>
            <w:tcW w:w="8078" w:type="dxa"/>
            <w:tcBorders>
              <w:left w:val="single" w:color="auto" w:sz="4" w:space="0"/>
            </w:tcBorders>
            <w:noWrap w:val="0"/>
            <w:vAlign w:val="top"/>
          </w:tcPr>
          <w:p>
            <w:pPr>
              <w:spacing w:line="360" w:lineRule="exact"/>
              <w:outlineLvl w:val="9"/>
              <w:rPr>
                <w:rFonts w:hint="eastAsia" w:ascii="宋体" w:hAnsi="宋体" w:cs="宋体"/>
                <w:sz w:val="24"/>
                <w:highlight w:val="none"/>
              </w:rPr>
            </w:pPr>
            <w:r>
              <w:rPr>
                <w:rFonts w:hint="eastAsia" w:ascii="宋体" w:hAnsi="宋体" w:cs="宋体"/>
                <w:sz w:val="24"/>
                <w:highlight w:val="none"/>
              </w:rPr>
              <w:t>供方交货时应提交下列文件：销售发票，国家有关质检机构出具的检验报告或证书（如果合同约定要求提供），制造厂商出具的质量检验证书、产品合格证等。合同签订前乙方向甲方支付合同总价款5％的履约保证金。甲方收到履约保证金并签订合同后30个工作日内，向乙方支付30%货款；到货并验收合格，且收到乙方开具的合同等额的符合甲方要求的税务发票后在30个工作日内，向乙方支付70%货款；货物质保期满后，若无质量问题或质量问题已解决达到甲方要求，向乙方无息返还5％的履约保证金；若出现质量问题，乙方应免费及时维修更换，如因乙方原因导致甲方利益受损，乙方应承担损害赔偿责任，同时甲方有权扣留5%的履约保证金作为违约金。甲方付款前，乙方应为甲方开具符合甲方要求的发票，否则甲方有权拒绝付款且不视为违约。</w:t>
            </w:r>
          </w:p>
          <w:p>
            <w:pPr>
              <w:pStyle w:val="7"/>
              <w:spacing w:line="360" w:lineRule="exact"/>
              <w:outlineLvl w:val="9"/>
              <w:rPr>
                <w:rFonts w:hint="eastAsia" w:ascii="宋体" w:hAnsi="宋体" w:eastAsia="宋体" w:cs="宋体"/>
                <w:b w:val="0"/>
                <w:bCs w:val="0"/>
                <w:color w:val="0000FF"/>
                <w:kern w:val="2"/>
                <w:sz w:val="24"/>
                <w:szCs w:val="24"/>
                <w:highlight w:val="none"/>
                <w:lang w:val="en-US" w:eastAsia="zh-CN" w:bidi="ar-SA"/>
              </w:rPr>
            </w:pPr>
            <w:r>
              <w:rPr>
                <w:rFonts w:hint="eastAsia" w:ascii="宋体" w:hAnsi="宋体" w:cs="宋体"/>
                <w:sz w:val="24"/>
                <w:highlight w:val="none"/>
              </w:rPr>
              <w:t>具体详细内容按合同约定执行。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3</w:t>
            </w:r>
          </w:p>
        </w:tc>
        <w:tc>
          <w:tcPr>
            <w:tcW w:w="1547" w:type="dxa"/>
            <w:tcBorders>
              <w:left w:val="single" w:color="auto" w:sz="4" w:space="0"/>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*投标文件的格式签署</w:t>
            </w:r>
          </w:p>
        </w:tc>
        <w:tc>
          <w:tcPr>
            <w:tcW w:w="8078" w:type="dxa"/>
            <w:tcBorders>
              <w:left w:val="single" w:color="auto" w:sz="4" w:space="0"/>
            </w:tcBorders>
            <w:noWrap w:val="0"/>
            <w:vAlign w:val="center"/>
          </w:tcPr>
          <w:p>
            <w:pPr>
              <w:spacing w:line="360" w:lineRule="exac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投标文件的装订要整齐、牢固，便于保管和利用。</w:t>
            </w:r>
            <w:r>
              <w:rPr>
                <w:rFonts w:hint="eastAsia" w:ascii="宋体" w:hAnsi="宋体" w:cs="宋体"/>
                <w:b/>
                <w:bCs/>
                <w:color w:val="auto"/>
                <w:sz w:val="24"/>
                <w:szCs w:val="24"/>
                <w:highlight w:val="none"/>
                <w:lang w:val="en-US" w:eastAsia="zh-CN"/>
              </w:rPr>
              <w:t>正本要求彩色打印，副本可以是正本的复印件。</w:t>
            </w:r>
          </w:p>
          <w:p>
            <w:pPr>
              <w:spacing w:line="360" w:lineRule="exac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投标文件应包含目录及页码。</w:t>
            </w:r>
          </w:p>
          <w:p>
            <w:pPr>
              <w:spacing w:line="360" w:lineRule="exac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投标文件须打印或用不褪色墨水书写，由投标人的单位加盖公章。投标文件由单位负责人签署的，须提交以书面形式出具的“单位负责人资格证明”；由被授权人签署的，须提交以书面形式出具的“单位负责人资格证明”和“单位负责人授权书”。投标文件的每一页均应加盖公章。未经有效签署的投标文件将被作为非响应性投标而被拒绝。</w:t>
            </w:r>
          </w:p>
          <w:p>
            <w:pPr>
              <w:spacing w:line="360" w:lineRule="exac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投标文件中如有修改错漏处，应在修改处加盖投标人公章。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9"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rPr>
              <w:t>14</w:t>
            </w:r>
          </w:p>
        </w:tc>
        <w:tc>
          <w:tcPr>
            <w:tcW w:w="1547" w:type="dxa"/>
            <w:tcBorders>
              <w:left w:val="single" w:color="auto" w:sz="4" w:space="0"/>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*投标文件的密封和标记</w:t>
            </w:r>
          </w:p>
        </w:tc>
        <w:tc>
          <w:tcPr>
            <w:tcW w:w="8078" w:type="dxa"/>
            <w:tcBorders>
              <w:left w:val="single" w:color="auto" w:sz="4" w:space="0"/>
            </w:tcBorders>
            <w:noWrap w:val="0"/>
            <w:vAlign w:val="center"/>
          </w:tcPr>
          <w:p>
            <w:pPr>
              <w:spacing w:line="360" w:lineRule="exac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投标文件的装订要整齐、牢固，便于保管和利用。</w:t>
            </w:r>
          </w:p>
          <w:p>
            <w:pPr>
              <w:spacing w:line="360" w:lineRule="exac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投标文件应包括开标一览表。为方便开标时唱标，投标人还应将开标一览表和投标保证金单独密封提交，并在信封上标明“开标一览表”或“投标保证金”字样。投标人应将投标文件正本和所有的副本分开密封装在单独的信封中，且在信封上标明“正本”“副本”字样。招标人将拒收不按招标文件要求密封的投标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58"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15</w:t>
            </w:r>
          </w:p>
        </w:tc>
        <w:tc>
          <w:tcPr>
            <w:tcW w:w="1547" w:type="dxa"/>
            <w:tcBorders>
              <w:left w:val="single" w:color="auto" w:sz="4" w:space="0"/>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违法行为</w:t>
            </w:r>
          </w:p>
        </w:tc>
        <w:tc>
          <w:tcPr>
            <w:tcW w:w="8078" w:type="dxa"/>
            <w:tcBorders>
              <w:left w:val="single" w:color="auto" w:sz="4" w:space="0"/>
            </w:tcBorders>
            <w:noWrap w:val="0"/>
            <w:vAlign w:val="center"/>
          </w:tcPr>
          <w:p>
            <w:pPr>
              <w:spacing w:line="3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rPr>
              <w:t>有下列情形之一的，视为投标人串通投标，其投标无效：</w:t>
            </w:r>
          </w:p>
          <w:p>
            <w:pPr>
              <w:spacing w:line="3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rPr>
              <w:t>（一）不同投标人的投标文件由同一单位或者个人编制；</w:t>
            </w:r>
          </w:p>
          <w:p>
            <w:pPr>
              <w:spacing w:line="3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rPr>
              <w:t>（二）不同投标人委托同一单位或者个人办理投标事宜；</w:t>
            </w:r>
          </w:p>
          <w:p>
            <w:pPr>
              <w:spacing w:line="3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rPr>
              <w:t>（三）不同投标人的投标文件载明的项目管理成员或者联系人员为同一人；</w:t>
            </w:r>
          </w:p>
          <w:p>
            <w:pPr>
              <w:spacing w:line="3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rPr>
              <w:t>（四）不同投标人的投标文件异常一致或者投标报价呈规律性差异；</w:t>
            </w:r>
          </w:p>
          <w:p>
            <w:pPr>
              <w:spacing w:line="3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rPr>
              <w:t>（五）不同投标人的投标文件相互混装；</w:t>
            </w:r>
          </w:p>
          <w:p>
            <w:pPr>
              <w:spacing w:line="360" w:lineRule="exact"/>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shd w:val="clear"/>
              </w:rPr>
              <w:t>（六）不同投标人的投标保证金从同一单位或者个人的账户转出。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602"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16</w:t>
            </w:r>
          </w:p>
        </w:tc>
        <w:tc>
          <w:tcPr>
            <w:tcW w:w="1547" w:type="dxa"/>
            <w:tcBorders>
              <w:left w:val="single" w:color="auto" w:sz="4" w:space="0"/>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有下列情形之一的应当在资格性、符合性检查时按照无效投标处理</w:t>
            </w:r>
          </w:p>
        </w:tc>
        <w:tc>
          <w:tcPr>
            <w:tcW w:w="8078" w:type="dxa"/>
            <w:tcBorders>
              <w:left w:val="single" w:color="auto" w:sz="4" w:space="0"/>
            </w:tcBorders>
            <w:noWrap w:val="0"/>
            <w:vAlign w:val="center"/>
          </w:tcPr>
          <w:p>
            <w:pPr>
              <w:spacing w:line="360" w:lineRule="exact"/>
              <w:rPr>
                <w:rFonts w:hint="eastAsia" w:ascii="宋体" w:hAnsi="宋体" w:eastAsia="宋体" w:cs="宋体"/>
                <w:color w:val="auto"/>
                <w:sz w:val="24"/>
                <w:szCs w:val="24"/>
                <w:highlight w:val="none"/>
                <w:shd w:val="clear"/>
              </w:rPr>
            </w:pPr>
            <w:r>
              <w:rPr>
                <w:rFonts w:hint="eastAsia" w:ascii="宋体" w:hAnsi="宋体" w:eastAsia="宋体" w:cs="宋体"/>
                <w:color w:val="auto"/>
                <w:sz w:val="24"/>
                <w:szCs w:val="24"/>
                <w:highlight w:val="none"/>
                <w:shd w:val="clear"/>
              </w:rPr>
              <w:t>（一）未按照招标文件的规定提交投标保证金的；</w:t>
            </w:r>
          </w:p>
          <w:p>
            <w:pPr>
              <w:spacing w:line="360" w:lineRule="exact"/>
              <w:rPr>
                <w:rFonts w:hint="eastAsia" w:ascii="宋体" w:hAnsi="宋体" w:eastAsia="宋体" w:cs="宋体"/>
                <w:color w:val="auto"/>
                <w:sz w:val="24"/>
                <w:szCs w:val="24"/>
                <w:highlight w:val="none"/>
                <w:shd w:val="clear"/>
              </w:rPr>
            </w:pPr>
            <w:r>
              <w:rPr>
                <w:rFonts w:hint="eastAsia" w:ascii="宋体" w:hAnsi="宋体" w:eastAsia="宋体" w:cs="宋体"/>
                <w:color w:val="auto"/>
                <w:sz w:val="24"/>
                <w:szCs w:val="24"/>
                <w:highlight w:val="none"/>
                <w:shd w:val="clear"/>
              </w:rPr>
              <w:t>（二）投标文件未按招标文件要求签署、盖章的；</w:t>
            </w:r>
          </w:p>
          <w:p>
            <w:pPr>
              <w:spacing w:line="360" w:lineRule="exact"/>
              <w:rPr>
                <w:rFonts w:hint="eastAsia" w:ascii="宋体" w:hAnsi="宋体" w:eastAsia="宋体" w:cs="宋体"/>
                <w:color w:val="auto"/>
                <w:sz w:val="24"/>
                <w:szCs w:val="24"/>
                <w:highlight w:val="none"/>
                <w:shd w:val="clear"/>
              </w:rPr>
            </w:pPr>
            <w:r>
              <w:rPr>
                <w:rFonts w:hint="eastAsia" w:ascii="宋体" w:hAnsi="宋体" w:eastAsia="宋体" w:cs="宋体"/>
                <w:color w:val="auto"/>
                <w:sz w:val="24"/>
                <w:szCs w:val="24"/>
                <w:highlight w:val="none"/>
                <w:shd w:val="clear"/>
              </w:rPr>
              <w:t>（三）不具备招标文件中规定的资格要求的；</w:t>
            </w:r>
          </w:p>
          <w:p>
            <w:pPr>
              <w:spacing w:line="360" w:lineRule="exact"/>
              <w:rPr>
                <w:rFonts w:hint="eastAsia" w:ascii="宋体" w:hAnsi="宋体" w:eastAsia="宋体" w:cs="宋体"/>
                <w:color w:val="auto"/>
                <w:sz w:val="24"/>
                <w:szCs w:val="24"/>
                <w:highlight w:val="none"/>
                <w:shd w:val="clear"/>
              </w:rPr>
            </w:pPr>
            <w:r>
              <w:rPr>
                <w:rFonts w:hint="eastAsia" w:ascii="宋体" w:hAnsi="宋体" w:eastAsia="宋体" w:cs="宋体"/>
                <w:color w:val="auto"/>
                <w:sz w:val="24"/>
                <w:szCs w:val="24"/>
                <w:highlight w:val="none"/>
                <w:shd w:val="clear"/>
              </w:rPr>
              <w:t>（四）报价超过招标文件中规定的预算金额或者最高限价的；</w:t>
            </w:r>
          </w:p>
          <w:p>
            <w:pPr>
              <w:spacing w:line="360" w:lineRule="exact"/>
              <w:rPr>
                <w:rFonts w:hint="eastAsia" w:ascii="宋体" w:hAnsi="宋体" w:eastAsia="宋体" w:cs="宋体"/>
                <w:color w:val="auto"/>
                <w:sz w:val="24"/>
                <w:szCs w:val="24"/>
                <w:highlight w:val="none"/>
                <w:shd w:val="clear"/>
              </w:rPr>
            </w:pPr>
            <w:r>
              <w:rPr>
                <w:rFonts w:hint="eastAsia" w:ascii="宋体" w:hAnsi="宋体" w:eastAsia="宋体" w:cs="宋体"/>
                <w:color w:val="auto"/>
                <w:sz w:val="24"/>
                <w:szCs w:val="24"/>
                <w:highlight w:val="none"/>
                <w:shd w:val="clear"/>
              </w:rPr>
              <w:t>（五）投标文件含有采购人不能接受的附加条件的;</w:t>
            </w:r>
          </w:p>
          <w:p>
            <w:pPr>
              <w:spacing w:line="360" w:lineRule="exact"/>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shd w:val="clear"/>
              </w:rPr>
              <w:t>（六）法律、法规和招标文件规定的其他无效情形。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19" w:hRule="atLeast"/>
          <w:jc w:val="center"/>
        </w:trPr>
        <w:tc>
          <w:tcPr>
            <w:tcW w:w="10329" w:type="dxa"/>
            <w:gridSpan w:val="3"/>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rPr>
              <w:t>投标报价和货币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17</w:t>
            </w:r>
          </w:p>
        </w:tc>
        <w:tc>
          <w:tcPr>
            <w:tcW w:w="1547" w:type="dxa"/>
            <w:tcBorders>
              <w:lef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采购预算</w:t>
            </w:r>
          </w:p>
        </w:tc>
        <w:tc>
          <w:tcPr>
            <w:tcW w:w="8078" w:type="dxa"/>
            <w:noWrap w:val="0"/>
            <w:vAlign w:val="top"/>
          </w:tcPr>
          <w:p>
            <w:pPr>
              <w:spacing w:line="360" w:lineRule="exact"/>
              <w:rPr>
                <w:rFonts w:ascii="宋体" w:hAnsi="宋体" w:cs="宋体"/>
                <w:color w:val="auto"/>
                <w:sz w:val="24"/>
                <w:szCs w:val="24"/>
                <w:highlight w:val="none"/>
              </w:rPr>
            </w:pPr>
            <w:r>
              <w:rPr>
                <w:rFonts w:hint="eastAsia" w:ascii="宋体" w:hAnsi="宋体" w:cs="宋体"/>
                <w:b/>
                <w:bCs w:val="0"/>
                <w:color w:val="auto"/>
                <w:sz w:val="24"/>
                <w:szCs w:val="24"/>
                <w:highlight w:val="none"/>
                <w:lang w:val="en-US" w:eastAsia="zh-CN"/>
              </w:rPr>
              <w:t>详见招标公告1.7采购需求，投标报价</w:t>
            </w:r>
            <w:r>
              <w:rPr>
                <w:rFonts w:hint="eastAsia" w:ascii="宋体" w:hAnsi="宋体" w:cs="宋体"/>
                <w:b/>
                <w:bCs/>
                <w:color w:val="auto"/>
                <w:sz w:val="24"/>
                <w:szCs w:val="24"/>
                <w:highlight w:val="none"/>
              </w:rPr>
              <w:t>不得超出</w:t>
            </w:r>
            <w:r>
              <w:rPr>
                <w:rFonts w:hint="eastAsia" w:ascii="宋体" w:hAnsi="宋体" w:cs="宋体"/>
                <w:b/>
                <w:bCs/>
                <w:color w:val="auto"/>
                <w:sz w:val="24"/>
                <w:szCs w:val="24"/>
                <w:highlight w:val="none"/>
                <w:lang w:val="en-US" w:eastAsia="zh-CN"/>
              </w:rPr>
              <w:t>其</w:t>
            </w:r>
            <w:r>
              <w:rPr>
                <w:rFonts w:hint="eastAsia" w:ascii="宋体" w:hAnsi="宋体" w:cs="宋体"/>
                <w:b/>
                <w:bCs/>
                <w:color w:val="auto"/>
                <w:sz w:val="24"/>
                <w:szCs w:val="24"/>
                <w:highlight w:val="none"/>
              </w:rPr>
              <w:t>采购预算及产品分项控制价，</w:t>
            </w:r>
            <w:r>
              <w:rPr>
                <w:rFonts w:hint="eastAsia" w:ascii="宋体" w:hAnsi="宋体" w:cs="宋体"/>
                <w:b/>
                <w:bCs/>
                <w:color w:val="auto"/>
                <w:sz w:val="24"/>
                <w:szCs w:val="24"/>
                <w:highlight w:val="none"/>
                <w:lang w:val="en-US" w:eastAsia="zh-CN"/>
              </w:rPr>
              <w:t>否则其投标被否决</w:t>
            </w:r>
            <w:r>
              <w:rPr>
                <w:rFonts w:hint="eastAsia" w:ascii="宋体" w:hAnsi="宋体" w:cs="宋体"/>
                <w:b/>
                <w:bCs/>
                <w:color w:val="auto"/>
                <w:sz w:val="24"/>
                <w:szCs w:val="24"/>
                <w:highlight w:val="none"/>
              </w:rPr>
              <w:t>。</w:t>
            </w:r>
          </w:p>
          <w:tbl>
            <w:tblPr>
              <w:tblStyle w:val="22"/>
              <w:tblW w:w="7646" w:type="dxa"/>
              <w:tblInd w:w="-2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293"/>
              <w:gridCol w:w="1923"/>
              <w:gridCol w:w="1516"/>
              <w:gridCol w:w="1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2293"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sz w:val="24"/>
                      <w:highlight w:val="none"/>
                    </w:rPr>
                    <w:t>采购内容</w:t>
                  </w:r>
                </w:p>
              </w:tc>
              <w:tc>
                <w:tcPr>
                  <w:tcW w:w="192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sz w:val="24"/>
                      <w:highlight w:val="none"/>
                      <w:lang w:eastAsia="zh-CN"/>
                    </w:rPr>
                    <w:t>预算单价（万元）</w:t>
                  </w:r>
                </w:p>
              </w:tc>
              <w:tc>
                <w:tcPr>
                  <w:tcW w:w="1516"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sz w:val="24"/>
                      <w:highlight w:val="none"/>
                    </w:rPr>
                    <w:t>采购数量</w:t>
                  </w:r>
                </w:p>
              </w:tc>
              <w:tc>
                <w:tcPr>
                  <w:tcW w:w="191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sz w:val="24"/>
                      <w:highlight w:val="none"/>
                      <w:lang w:val="en-US" w:eastAsia="zh-CN"/>
                    </w:rPr>
                    <w:t>预算金额</w:t>
                  </w:r>
                  <w:r>
                    <w:rPr>
                      <w:rFonts w:hint="eastAsia" w:ascii="宋体" w:hAnsi="宋体" w:cs="宋体"/>
                      <w:bCs/>
                      <w:color w:val="auto"/>
                      <w:sz w:val="24"/>
                      <w:highlight w:val="none"/>
                      <w:lang w:eastAsia="zh-CN"/>
                    </w:rPr>
                    <w:t>（</w:t>
                  </w:r>
                  <w:r>
                    <w:rPr>
                      <w:rFonts w:hint="eastAsia" w:ascii="宋体" w:hAnsi="宋体" w:cs="宋体"/>
                      <w:bCs/>
                      <w:color w:val="auto"/>
                      <w:sz w:val="24"/>
                      <w:highlight w:val="none"/>
                      <w:lang w:val="en-US" w:eastAsia="zh-CN"/>
                    </w:rPr>
                    <w:t>万元</w:t>
                  </w:r>
                  <w:r>
                    <w:rPr>
                      <w:rFonts w:hint="eastAsia" w:ascii="宋体" w:hAnsi="宋体" w:cs="宋体"/>
                      <w:bCs/>
                      <w:color w:val="auto"/>
                      <w:sz w:val="24"/>
                      <w:highlight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2293"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热成像空气呼吸器</w:t>
                  </w:r>
                </w:p>
              </w:tc>
              <w:tc>
                <w:tcPr>
                  <w:tcW w:w="1923" w:type="dxa"/>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6.5</w:t>
                  </w:r>
                </w:p>
              </w:tc>
              <w:tc>
                <w:tcPr>
                  <w:tcW w:w="1516" w:type="dxa"/>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12</w:t>
                  </w:r>
                </w:p>
              </w:tc>
              <w:tc>
                <w:tcPr>
                  <w:tcW w:w="1914" w:type="dxa"/>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2293"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氧气呼吸器</w:t>
                  </w:r>
                </w:p>
              </w:tc>
              <w:tc>
                <w:tcPr>
                  <w:tcW w:w="1923" w:type="dxa"/>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4.5</w:t>
                  </w:r>
                </w:p>
              </w:tc>
              <w:tc>
                <w:tcPr>
                  <w:tcW w:w="1516" w:type="dxa"/>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20</w:t>
                  </w:r>
                </w:p>
              </w:tc>
              <w:tc>
                <w:tcPr>
                  <w:tcW w:w="1914" w:type="dxa"/>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90</w:t>
                  </w:r>
                </w:p>
              </w:tc>
            </w:tr>
          </w:tbl>
          <w:p>
            <w:pPr>
              <w:spacing w:line="360" w:lineRule="exac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投标人应对一个完整的标段进行投标，否则其投标无效。</w:t>
            </w:r>
          </w:p>
          <w:p>
            <w:pPr>
              <w:pStyle w:val="17"/>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报价要求:只允许有一个报价，任何有选择性的报价或者有附加条件的报价招标人将不予接受。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14"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18</w:t>
            </w:r>
          </w:p>
        </w:tc>
        <w:tc>
          <w:tcPr>
            <w:tcW w:w="1547" w:type="dxa"/>
            <w:tcBorders>
              <w:lef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投标货币</w:t>
            </w:r>
          </w:p>
        </w:tc>
        <w:tc>
          <w:tcPr>
            <w:tcW w:w="8078" w:type="dxa"/>
            <w:noWrap w:val="0"/>
            <w:vAlign w:val="center"/>
          </w:tcPr>
          <w:p>
            <w:pPr>
              <w:spacing w:line="360" w:lineRule="exact"/>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人民币。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29" w:hRule="atLeast"/>
          <w:jc w:val="center"/>
        </w:trPr>
        <w:tc>
          <w:tcPr>
            <w:tcW w:w="10329" w:type="dxa"/>
            <w:gridSpan w:val="3"/>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rPr>
              <w:t>投标书的编制和递交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top w:val="single" w:color="auto" w:sz="4" w:space="0"/>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19</w:t>
            </w:r>
          </w:p>
        </w:tc>
        <w:tc>
          <w:tcPr>
            <w:tcW w:w="1547" w:type="dxa"/>
            <w:tcBorders>
              <w:top w:val="single" w:color="auto" w:sz="4" w:space="0"/>
              <w:lef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*投标保证金</w:t>
            </w:r>
          </w:p>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金额</w:t>
            </w:r>
          </w:p>
        </w:tc>
        <w:tc>
          <w:tcPr>
            <w:tcW w:w="8078" w:type="dxa"/>
            <w:tcBorders>
              <w:top w:val="single" w:color="auto" w:sz="4" w:space="0"/>
            </w:tcBorders>
            <w:noWrap w:val="0"/>
            <w:vAlign w:val="center"/>
          </w:tcPr>
          <w:p>
            <w:pPr>
              <w:spacing w:line="360" w:lineRule="exac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第</w:t>
            </w:r>
            <w:r>
              <w:rPr>
                <w:rFonts w:hint="eastAsia" w:ascii="宋体" w:hAnsi="宋体" w:cs="宋体"/>
                <w:b w:val="0"/>
                <w:bCs w:val="0"/>
                <w:color w:val="auto"/>
                <w:sz w:val="24"/>
                <w:szCs w:val="24"/>
                <w:highlight w:val="none"/>
                <w:lang w:val="en-US" w:eastAsia="zh-CN"/>
              </w:rPr>
              <w:t>九</w:t>
            </w:r>
            <w:r>
              <w:rPr>
                <w:rFonts w:hint="eastAsia" w:ascii="宋体" w:hAnsi="宋体" w:eastAsia="宋体" w:cs="宋体"/>
                <w:b w:val="0"/>
                <w:bCs w:val="0"/>
                <w:color w:val="auto"/>
                <w:sz w:val="24"/>
                <w:szCs w:val="24"/>
                <w:highlight w:val="none"/>
                <w:lang w:val="en-US" w:eastAsia="zh-CN"/>
              </w:rPr>
              <w:t>标段</w:t>
            </w:r>
            <w:r>
              <w:rPr>
                <w:rFonts w:hint="eastAsia" w:ascii="宋体" w:hAnsi="宋体" w:eastAsia="宋体" w:cs="宋体"/>
                <w:b w:val="0"/>
                <w:bCs w:val="0"/>
                <w:color w:val="auto"/>
                <w:sz w:val="24"/>
                <w:szCs w:val="24"/>
                <w:highlight w:val="none"/>
              </w:rPr>
              <w:tab/>
            </w:r>
            <w:r>
              <w:rPr>
                <w:rFonts w:hint="eastAsia" w:ascii="宋体" w:hAnsi="宋体" w:cs="宋体"/>
                <w:bCs/>
                <w:color w:val="auto"/>
                <w:sz w:val="24"/>
                <w:szCs w:val="24"/>
                <w:highlight w:val="none"/>
                <w:lang w:eastAsia="zh-CN"/>
              </w:rPr>
              <w:t>人民币</w:t>
            </w:r>
            <w:r>
              <w:rPr>
                <w:rFonts w:hint="eastAsia" w:ascii="宋体" w:hAnsi="宋体" w:cs="宋体"/>
                <w:bCs/>
                <w:color w:val="auto"/>
                <w:sz w:val="24"/>
                <w:szCs w:val="24"/>
                <w:highlight w:val="none"/>
                <w:lang w:val="en-US" w:eastAsia="zh-CN"/>
              </w:rPr>
              <w:t>16009元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top w:val="single" w:color="auto" w:sz="4" w:space="0"/>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20</w:t>
            </w:r>
          </w:p>
        </w:tc>
        <w:tc>
          <w:tcPr>
            <w:tcW w:w="1547" w:type="dxa"/>
            <w:tcBorders>
              <w:top w:val="single" w:color="auto" w:sz="4" w:space="0"/>
              <w:lef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*投标保证金</w:t>
            </w:r>
          </w:p>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形式</w:t>
            </w:r>
          </w:p>
        </w:tc>
        <w:tc>
          <w:tcPr>
            <w:tcW w:w="8078" w:type="dxa"/>
            <w:tcBorders>
              <w:top w:val="single" w:color="auto" w:sz="4" w:space="0"/>
            </w:tcBorders>
            <w:noWrap w:val="0"/>
            <w:vAlign w:val="center"/>
          </w:tcPr>
          <w:p>
            <w:pPr>
              <w:spacing w:line="360" w:lineRule="exact"/>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投标保证金形式：投标人应在投标截止时间前将投标保证金采用支票、汇票、本票或者金融机构、担保机构出具的保函等非现金形式交纳，投标保证金应当从供应商的基本账户转出。招标人不接受以现金方式提交的投标保证金，以现金方式提交的投标保证金无效。</w:t>
            </w:r>
          </w:p>
          <w:p>
            <w:pPr>
              <w:spacing w:line="360" w:lineRule="exact"/>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投标保证金账户：</w:t>
            </w:r>
          </w:p>
          <w:p>
            <w:pPr>
              <w:spacing w:line="360" w:lineRule="exact"/>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账户名称：中峪国际项目管理有限公司</w:t>
            </w:r>
          </w:p>
          <w:p>
            <w:pPr>
              <w:spacing w:line="360" w:lineRule="exact"/>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开户行名称：兴业银行长春二道支行</w:t>
            </w:r>
          </w:p>
          <w:p>
            <w:pPr>
              <w:spacing w:line="360" w:lineRule="exact"/>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账      号：581050100100186135</w:t>
            </w:r>
          </w:p>
          <w:p>
            <w:pPr>
              <w:spacing w:line="360" w:lineRule="exact"/>
              <w:jc w:val="left"/>
              <w:rPr>
                <w:rFonts w:hint="eastAsia" w:ascii="宋体" w:hAnsi="宋体" w:eastAsia="宋体" w:cs="宋体"/>
                <w:b w:val="0"/>
                <w:bCs w:val="0"/>
                <w:color w:val="auto"/>
                <w:sz w:val="24"/>
                <w:szCs w:val="24"/>
                <w:highlight w:val="none"/>
                <w:lang w:val="zh-CN"/>
              </w:rPr>
            </w:pPr>
            <w:r>
              <w:rPr>
                <w:rFonts w:hint="eastAsia" w:ascii="宋体" w:hAnsi="宋体" w:eastAsia="宋体" w:cs="宋体"/>
                <w:b w:val="0"/>
                <w:bCs w:val="0"/>
                <w:color w:val="auto"/>
                <w:sz w:val="24"/>
                <w:szCs w:val="24"/>
                <w:highlight w:val="none"/>
              </w:rPr>
              <w:t>保证金的缴纳以到账时间为准。</w:t>
            </w:r>
          </w:p>
          <w:p>
            <w:pPr>
              <w:spacing w:line="360" w:lineRule="exact"/>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投标保证金其他要求：如为电汇方式缴纳，必须在银行进帐单上注明“</w:t>
            </w:r>
            <w:r>
              <w:rPr>
                <w:rFonts w:hint="eastAsia" w:ascii="宋体" w:hAnsi="宋体" w:eastAsia="宋体" w:cs="宋体"/>
                <w:b w:val="0"/>
                <w:bCs w:val="0"/>
                <w:color w:val="auto"/>
                <w:sz w:val="24"/>
                <w:szCs w:val="24"/>
                <w:highlight w:val="none"/>
                <w:u w:val="single"/>
                <w:shd w:val="clear" w:color="auto" w:fill="FFFFFF"/>
              </w:rPr>
              <w:t xml:space="preserve">      </w:t>
            </w:r>
            <w:r>
              <w:rPr>
                <w:rFonts w:hint="eastAsia" w:ascii="宋体" w:hAnsi="宋体" w:eastAsia="宋体" w:cs="宋体"/>
                <w:b w:val="0"/>
                <w:bCs w:val="0"/>
                <w:color w:val="auto"/>
                <w:sz w:val="24"/>
                <w:szCs w:val="24"/>
                <w:highlight w:val="none"/>
                <w:shd w:val="clear" w:color="auto" w:fill="FFFFFF"/>
              </w:rPr>
              <w:t>项目</w:t>
            </w:r>
            <w:r>
              <w:rPr>
                <w:rFonts w:hint="eastAsia" w:ascii="宋体" w:hAnsi="宋体" w:eastAsia="宋体" w:cs="宋体"/>
                <w:b w:val="0"/>
                <w:bCs w:val="0"/>
                <w:color w:val="auto"/>
                <w:sz w:val="24"/>
                <w:szCs w:val="24"/>
                <w:highlight w:val="none"/>
                <w:u w:val="single"/>
                <w:shd w:val="clear" w:color="auto" w:fill="FFFFFF"/>
              </w:rPr>
              <w:t xml:space="preserve">     </w:t>
            </w:r>
            <w:r>
              <w:rPr>
                <w:rFonts w:hint="eastAsia" w:ascii="宋体" w:hAnsi="宋体" w:cs="宋体"/>
                <w:b w:val="0"/>
                <w:bCs w:val="0"/>
                <w:color w:val="auto"/>
                <w:sz w:val="24"/>
                <w:szCs w:val="24"/>
                <w:highlight w:val="none"/>
                <w:u w:val="none"/>
                <w:shd w:val="clear" w:color="auto" w:fill="FFFFFF"/>
                <w:lang w:val="en-US" w:eastAsia="zh-CN"/>
              </w:rPr>
              <w:t>标段</w:t>
            </w:r>
            <w:r>
              <w:rPr>
                <w:rFonts w:hint="eastAsia" w:ascii="宋体" w:hAnsi="宋体" w:eastAsia="宋体" w:cs="宋体"/>
                <w:b w:val="0"/>
                <w:bCs w:val="0"/>
                <w:color w:val="auto"/>
                <w:sz w:val="24"/>
                <w:szCs w:val="24"/>
                <w:highlight w:val="none"/>
              </w:rPr>
              <w:t>”的投标保证金，如果没注明的投标保证金，由此造成无法查实是否到帐的，后果由投标人自行负责。投标人必须将投标保证金于投标截止时间前转入投标保证金账户，以到帐为准。(请在汇款后将底单扫描件发送至 805785499@qq.com邮箱)</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39"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1</w:t>
            </w:r>
          </w:p>
        </w:tc>
        <w:tc>
          <w:tcPr>
            <w:tcW w:w="1547" w:type="dxa"/>
            <w:tcBorders>
              <w:lef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投标有效期</w:t>
            </w:r>
          </w:p>
        </w:tc>
        <w:tc>
          <w:tcPr>
            <w:tcW w:w="8078" w:type="dxa"/>
            <w:noWrap w:val="0"/>
            <w:vAlign w:val="center"/>
          </w:tcPr>
          <w:p>
            <w:pPr>
              <w:spacing w:line="360" w:lineRule="exac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投标有效期：90天。</w:t>
            </w:r>
          </w:p>
          <w:p>
            <w:pPr>
              <w:spacing w:line="360" w:lineRule="exact"/>
              <w:jc w:val="left"/>
              <w:rPr>
                <w:rFonts w:hint="eastAsia" w:ascii="宋体" w:hAnsi="宋体" w:eastAsia="宋体" w:cs="宋体"/>
                <w:b w:val="0"/>
                <w:bCs w:val="0"/>
                <w:i/>
                <w:iCs/>
                <w:color w:val="auto"/>
                <w:sz w:val="24"/>
                <w:szCs w:val="24"/>
                <w:highlight w:val="none"/>
              </w:rPr>
            </w:pPr>
            <w:r>
              <w:rPr>
                <w:rFonts w:hint="eastAsia" w:ascii="宋体" w:hAnsi="宋体" w:eastAsia="宋体" w:cs="宋体"/>
                <w:b w:val="0"/>
                <w:bCs w:val="0"/>
                <w:color w:val="auto"/>
                <w:sz w:val="24"/>
                <w:szCs w:val="24"/>
                <w:highlight w:val="none"/>
              </w:rPr>
              <w:t>投标保证金有效期应与投标有效期一致。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22</w:t>
            </w:r>
          </w:p>
        </w:tc>
        <w:tc>
          <w:tcPr>
            <w:tcW w:w="1547" w:type="dxa"/>
            <w:tcBorders>
              <w:lef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投标文件份数</w:t>
            </w:r>
          </w:p>
        </w:tc>
        <w:tc>
          <w:tcPr>
            <w:tcW w:w="8078" w:type="dxa"/>
            <w:noWrap w:val="0"/>
            <w:vAlign w:val="center"/>
          </w:tcPr>
          <w:p>
            <w:pPr>
              <w:spacing w:line="360" w:lineRule="exact"/>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正本</w:t>
            </w: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rPr>
              <w:t>份，副本</w:t>
            </w:r>
            <w:r>
              <w:rPr>
                <w:rFonts w:hint="eastAsia" w:ascii="宋体" w:hAnsi="宋体" w:eastAsia="宋体" w:cs="宋体"/>
                <w:b w:val="0"/>
                <w:bCs w:val="0"/>
                <w:color w:val="auto"/>
                <w:sz w:val="24"/>
                <w:szCs w:val="24"/>
                <w:highlight w:val="none"/>
                <w:lang w:val="en-US" w:eastAsia="zh-CN"/>
              </w:rPr>
              <w:t>6</w:t>
            </w:r>
            <w:r>
              <w:rPr>
                <w:rFonts w:hint="eastAsia" w:ascii="宋体" w:hAnsi="宋体" w:eastAsia="宋体" w:cs="宋体"/>
                <w:b w:val="0"/>
                <w:bCs w:val="0"/>
                <w:color w:val="auto"/>
                <w:sz w:val="24"/>
                <w:szCs w:val="24"/>
                <w:highlight w:val="none"/>
              </w:rPr>
              <w:t>份（含技术及商务等所有文件），电子版普通U盘</w:t>
            </w: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rPr>
              <w:t>份（WORD一份、按招标文件要求签字并加盖公章的PDF扫描件一份，U盘拷贝）。</w:t>
            </w:r>
          </w:p>
          <w:p>
            <w:pPr>
              <w:spacing w:line="360" w:lineRule="exact"/>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（电子版文件应为投标文件正本的扫描件）。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9" w:hRule="atLeast"/>
          <w:jc w:val="center"/>
        </w:trPr>
        <w:tc>
          <w:tcPr>
            <w:tcW w:w="704" w:type="dxa"/>
            <w:vMerge w:val="restart"/>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23</w:t>
            </w:r>
          </w:p>
        </w:tc>
        <w:tc>
          <w:tcPr>
            <w:tcW w:w="1547" w:type="dxa"/>
            <w:tcBorders>
              <w:left w:val="single" w:color="auto" w:sz="4" w:space="0"/>
              <w:bottom w:val="single" w:color="auto" w:sz="4" w:space="0"/>
            </w:tcBorders>
            <w:noWrap w:val="0"/>
            <w:vAlign w:val="center"/>
          </w:tcPr>
          <w:p>
            <w:pPr>
              <w:spacing w:line="36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rPr>
              <w:t>投标截止、开标时间</w:t>
            </w:r>
          </w:p>
        </w:tc>
        <w:tc>
          <w:tcPr>
            <w:tcW w:w="8078" w:type="dxa"/>
            <w:tcBorders>
              <w:bottom w:val="single" w:color="auto" w:sz="4" w:space="0"/>
            </w:tcBorders>
            <w:noWrap w:val="0"/>
            <w:vAlign w:val="center"/>
          </w:tcPr>
          <w:p>
            <w:pPr>
              <w:spacing w:line="360" w:lineRule="exact"/>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cs="宋体"/>
                <w:color w:val="auto"/>
                <w:sz w:val="24"/>
              </w:rPr>
              <w:t>202</w:t>
            </w:r>
            <w:r>
              <w:rPr>
                <w:rFonts w:hint="eastAsia" w:ascii="宋体" w:hAnsi="宋体" w:cs="宋体"/>
                <w:color w:val="auto"/>
                <w:sz w:val="24"/>
                <w:lang w:val="en-US" w:eastAsia="zh-CN"/>
              </w:rPr>
              <w:t>4</w:t>
            </w:r>
            <w:r>
              <w:rPr>
                <w:rFonts w:hint="eastAsia" w:ascii="宋体" w:hAnsi="宋体" w:cs="宋体"/>
                <w:color w:val="auto"/>
                <w:sz w:val="24"/>
              </w:rPr>
              <w:t>年</w:t>
            </w:r>
            <w:r>
              <w:rPr>
                <w:rFonts w:hint="eastAsia" w:ascii="宋体" w:hAnsi="宋体" w:cs="宋体"/>
                <w:color w:val="auto"/>
                <w:sz w:val="24"/>
                <w:lang w:val="en-US" w:eastAsia="zh-CN"/>
              </w:rPr>
              <w:t>01</w:t>
            </w:r>
            <w:r>
              <w:rPr>
                <w:rFonts w:hint="eastAsia" w:ascii="宋体" w:hAnsi="宋体" w:cs="宋体"/>
                <w:color w:val="auto"/>
                <w:sz w:val="24"/>
              </w:rPr>
              <w:t>月</w:t>
            </w:r>
            <w:r>
              <w:rPr>
                <w:rFonts w:hint="eastAsia" w:ascii="宋体" w:hAnsi="宋体" w:cs="宋体"/>
                <w:color w:val="auto"/>
                <w:sz w:val="24"/>
                <w:lang w:val="en-US" w:eastAsia="zh-CN"/>
              </w:rPr>
              <w:t>25</w:t>
            </w:r>
            <w:r>
              <w:rPr>
                <w:rFonts w:hint="eastAsia" w:ascii="宋体" w:hAnsi="宋体" w:cs="宋体"/>
                <w:color w:val="auto"/>
                <w:sz w:val="24"/>
              </w:rPr>
              <w:t>日09时00分</w:t>
            </w:r>
            <w:r>
              <w:rPr>
                <w:rFonts w:hint="eastAsia" w:ascii="宋体" w:hAnsi="宋体" w:eastAsia="宋体" w:cs="宋体"/>
                <w:b w:val="0"/>
                <w:bCs w:val="0"/>
                <w:color w:val="auto"/>
                <w:sz w:val="24"/>
                <w:szCs w:val="24"/>
                <w:highlight w:val="none"/>
                <w:lang w:val="zh-CN"/>
              </w:rPr>
              <w:t>(北京时间)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9" w:hRule="atLeast"/>
          <w:jc w:val="center"/>
        </w:trPr>
        <w:tc>
          <w:tcPr>
            <w:tcW w:w="704" w:type="dxa"/>
            <w:vMerge w:val="continue"/>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p>
        </w:tc>
        <w:tc>
          <w:tcPr>
            <w:tcW w:w="1547" w:type="dxa"/>
            <w:tcBorders>
              <w:top w:val="single" w:color="auto" w:sz="4" w:space="0"/>
              <w:left w:val="single" w:color="auto" w:sz="4" w:space="0"/>
            </w:tcBorders>
            <w:noWrap w:val="0"/>
            <w:vAlign w:val="center"/>
          </w:tcPr>
          <w:p>
            <w:pPr>
              <w:spacing w:line="36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rPr>
              <w:t>投标文件递交、开标地点</w:t>
            </w:r>
          </w:p>
        </w:tc>
        <w:tc>
          <w:tcPr>
            <w:tcW w:w="8078" w:type="dxa"/>
            <w:tcBorders>
              <w:top w:val="single" w:color="auto" w:sz="4" w:space="0"/>
            </w:tcBorders>
            <w:noWrap w:val="0"/>
            <w:vAlign w:val="center"/>
          </w:tcPr>
          <w:p>
            <w:pPr>
              <w:spacing w:line="360" w:lineRule="exact"/>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rPr>
              <w:t>吉林省公共资源交易中心开标室（吉林省长春市人民大街9999号雕塑公园对面）。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10329" w:type="dxa"/>
            <w:gridSpan w:val="3"/>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rPr>
              <w:t>评标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9"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24</w:t>
            </w:r>
          </w:p>
        </w:tc>
        <w:tc>
          <w:tcPr>
            <w:tcW w:w="1547" w:type="dxa"/>
            <w:tcBorders>
              <w:left w:val="single" w:color="auto" w:sz="4" w:space="0"/>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评标委员会</w:t>
            </w:r>
          </w:p>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组成</w:t>
            </w:r>
          </w:p>
        </w:tc>
        <w:tc>
          <w:tcPr>
            <w:tcW w:w="8078" w:type="dxa"/>
            <w:tcBorders>
              <w:left w:val="single" w:color="auto" w:sz="4" w:space="0"/>
            </w:tcBorders>
            <w:noWrap w:val="0"/>
            <w:vAlign w:val="center"/>
          </w:tcPr>
          <w:p>
            <w:pPr>
              <w:spacing w:line="360" w:lineRule="exact"/>
              <w:jc w:val="left"/>
              <w:rPr>
                <w:rFonts w:hint="eastAsia" w:ascii="宋体" w:hAnsi="宋体" w:eastAsia="宋体" w:cs="宋体"/>
                <w:b w:val="0"/>
                <w:bCs w:val="0"/>
                <w:color w:val="auto"/>
                <w:sz w:val="24"/>
                <w:szCs w:val="24"/>
                <w:highlight w:val="none"/>
                <w:lang w:val="zh-CN"/>
              </w:rPr>
            </w:pPr>
            <w:r>
              <w:rPr>
                <w:rFonts w:hint="eastAsia" w:ascii="宋体" w:hAnsi="宋体" w:eastAsia="宋体" w:cs="宋体"/>
                <w:b w:val="0"/>
                <w:bCs w:val="0"/>
                <w:color w:val="auto"/>
                <w:sz w:val="24"/>
                <w:szCs w:val="24"/>
                <w:highlight w:val="none"/>
              </w:rPr>
              <w:t>共</w:t>
            </w:r>
            <w:r>
              <w:rPr>
                <w:rFonts w:hint="eastAsia" w:ascii="宋体" w:hAnsi="宋体" w:eastAsia="宋体" w:cs="宋体"/>
                <w:b w:val="0"/>
                <w:bCs w:val="0"/>
                <w:color w:val="auto"/>
                <w:sz w:val="24"/>
                <w:szCs w:val="24"/>
                <w:highlight w:val="none"/>
                <w:lang w:val="en-US" w:eastAsia="zh-CN"/>
              </w:rPr>
              <w:t>7</w:t>
            </w:r>
            <w:r>
              <w:rPr>
                <w:rFonts w:hint="eastAsia" w:ascii="宋体" w:hAnsi="宋体" w:eastAsia="宋体" w:cs="宋体"/>
                <w:b w:val="0"/>
                <w:bCs w:val="0"/>
                <w:color w:val="auto"/>
                <w:sz w:val="24"/>
                <w:szCs w:val="24"/>
                <w:highlight w:val="none"/>
              </w:rPr>
              <w:t>人，</w:t>
            </w:r>
            <w:r>
              <w:rPr>
                <w:rFonts w:hint="eastAsia" w:ascii="宋体" w:hAnsi="宋体" w:eastAsia="宋体" w:cs="宋体"/>
                <w:b w:val="0"/>
                <w:bCs w:val="0"/>
                <w:color w:val="auto"/>
                <w:sz w:val="24"/>
                <w:szCs w:val="24"/>
                <w:highlight w:val="none"/>
                <w:lang w:val="zh-CN"/>
              </w:rPr>
              <w:t>其中</w:t>
            </w:r>
            <w:r>
              <w:rPr>
                <w:rFonts w:hint="eastAsia" w:ascii="宋体" w:hAnsi="宋体" w:cs="宋体"/>
                <w:b w:val="0"/>
                <w:bCs w:val="0"/>
                <w:color w:val="auto"/>
                <w:sz w:val="24"/>
                <w:szCs w:val="24"/>
                <w:highlight w:val="none"/>
                <w:lang w:val="en-US" w:eastAsia="zh-CN"/>
              </w:rPr>
              <w:t>采购</w:t>
            </w:r>
            <w:r>
              <w:rPr>
                <w:rFonts w:hint="eastAsia" w:ascii="宋体" w:hAnsi="宋体" w:eastAsia="宋体" w:cs="宋体"/>
                <w:b w:val="0"/>
                <w:bCs w:val="0"/>
                <w:color w:val="auto"/>
                <w:sz w:val="24"/>
                <w:szCs w:val="24"/>
                <w:highlight w:val="none"/>
                <w:lang w:val="zh-CN"/>
              </w:rPr>
              <w:t>人代表</w:t>
            </w: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zh-CN"/>
              </w:rPr>
              <w:t>人</w:t>
            </w:r>
            <w:r>
              <w:rPr>
                <w:rFonts w:hint="eastAsia" w:ascii="宋体" w:hAnsi="宋体" w:eastAsia="宋体" w:cs="宋体"/>
                <w:b w:val="0"/>
                <w:bCs w:val="0"/>
                <w:color w:val="auto"/>
                <w:sz w:val="24"/>
                <w:szCs w:val="24"/>
                <w:highlight w:val="none"/>
              </w:rPr>
              <w:t>，外聘</w:t>
            </w:r>
            <w:r>
              <w:rPr>
                <w:rFonts w:hint="eastAsia" w:ascii="宋体" w:hAnsi="宋体" w:eastAsia="宋体" w:cs="宋体"/>
                <w:b w:val="0"/>
                <w:bCs w:val="0"/>
                <w:color w:val="auto"/>
                <w:sz w:val="24"/>
                <w:szCs w:val="24"/>
                <w:highlight w:val="none"/>
                <w:lang w:val="zh-CN"/>
              </w:rPr>
              <w:t>专家</w:t>
            </w:r>
            <w:r>
              <w:rPr>
                <w:rFonts w:hint="eastAsia" w:ascii="宋体" w:hAnsi="宋体" w:cs="宋体"/>
                <w:b w:val="0"/>
                <w:bCs w:val="0"/>
                <w:color w:val="auto"/>
                <w:sz w:val="24"/>
                <w:szCs w:val="24"/>
                <w:highlight w:val="none"/>
                <w:lang w:val="en-US" w:eastAsia="zh-CN"/>
              </w:rPr>
              <w:t>6</w:t>
            </w:r>
            <w:r>
              <w:rPr>
                <w:rFonts w:hint="eastAsia" w:ascii="宋体" w:hAnsi="宋体" w:eastAsia="宋体" w:cs="宋体"/>
                <w:b w:val="0"/>
                <w:bCs w:val="0"/>
                <w:color w:val="auto"/>
                <w:sz w:val="24"/>
                <w:szCs w:val="24"/>
                <w:highlight w:val="none"/>
                <w:lang w:val="zh-CN"/>
              </w:rPr>
              <w:t>人；</w:t>
            </w:r>
          </w:p>
          <w:p>
            <w:pPr>
              <w:spacing w:line="360" w:lineRule="exact"/>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zh-CN"/>
              </w:rPr>
              <w:t>评标专家确定方式：</w:t>
            </w:r>
            <w:r>
              <w:rPr>
                <w:rFonts w:hint="eastAsia" w:ascii="宋体" w:hAnsi="宋体" w:eastAsia="宋体" w:cs="宋体"/>
                <w:b w:val="0"/>
                <w:bCs w:val="0"/>
                <w:color w:val="auto"/>
                <w:sz w:val="24"/>
                <w:szCs w:val="24"/>
                <w:highlight w:val="none"/>
              </w:rPr>
              <w:t>外聘专家从吉林省省级评标专家库中随机抽取。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3"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25</w:t>
            </w:r>
          </w:p>
        </w:tc>
        <w:tc>
          <w:tcPr>
            <w:tcW w:w="1547" w:type="dxa"/>
            <w:tcBorders>
              <w:left w:val="single" w:color="auto" w:sz="4" w:space="0"/>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评标方法</w:t>
            </w:r>
          </w:p>
        </w:tc>
        <w:tc>
          <w:tcPr>
            <w:tcW w:w="8078" w:type="dxa"/>
            <w:tcBorders>
              <w:left w:val="single" w:color="auto" w:sz="4" w:space="0"/>
            </w:tcBorders>
            <w:noWrap w:val="0"/>
            <w:vAlign w:val="center"/>
          </w:tcPr>
          <w:p>
            <w:pPr>
              <w:spacing w:line="360" w:lineRule="exact"/>
              <w:rPr>
                <w:rFonts w:hint="eastAsia" w:ascii="宋体" w:hAnsi="宋体" w:eastAsia="宋体" w:cs="宋体"/>
                <w:b w:val="0"/>
                <w:bCs w:val="0"/>
                <w:color w:val="auto"/>
                <w:sz w:val="24"/>
                <w:szCs w:val="24"/>
                <w:highlight w:val="none"/>
              </w:rPr>
            </w:pPr>
            <w:r>
              <w:rPr>
                <w:rFonts w:hint="eastAsia" w:ascii="宋体" w:hAnsi="宋体" w:cs="宋体"/>
                <w:b w:val="0"/>
                <w:bCs w:val="0"/>
                <w:color w:val="auto"/>
                <w:sz w:val="24"/>
                <w:szCs w:val="24"/>
                <w:highlight w:val="none"/>
                <w:lang w:eastAsia="zh-CN"/>
              </w:rPr>
              <w:t>综合评分法</w:t>
            </w:r>
            <w:r>
              <w:rPr>
                <w:rFonts w:hint="eastAsia" w:ascii="宋体" w:hAnsi="宋体" w:eastAsia="宋体" w:cs="宋体"/>
                <w:b w:val="0"/>
                <w:bCs w:val="0"/>
                <w:color w:val="auto"/>
                <w:sz w:val="24"/>
                <w:szCs w:val="24"/>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10329" w:type="dxa"/>
            <w:gridSpan w:val="3"/>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rPr>
              <w:t>授予合同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27"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26</w:t>
            </w:r>
          </w:p>
        </w:tc>
        <w:tc>
          <w:tcPr>
            <w:tcW w:w="1547" w:type="dxa"/>
            <w:tcBorders>
              <w:left w:val="single" w:color="auto" w:sz="4" w:space="0"/>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*履约保证金</w:t>
            </w:r>
          </w:p>
        </w:tc>
        <w:tc>
          <w:tcPr>
            <w:tcW w:w="8078" w:type="dxa"/>
            <w:tcBorders>
              <w:left w:val="single" w:color="auto" w:sz="4" w:space="0"/>
            </w:tcBorders>
            <w:noWrap w:val="0"/>
            <w:vAlign w:val="center"/>
          </w:tcPr>
          <w:p>
            <w:pPr>
              <w:pStyle w:val="21"/>
              <w:spacing w:line="360" w:lineRule="exact"/>
              <w:ind w:firstLine="0" w:firstLineChars="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中标人应在订立采购合同之前向采购人提交合同总价5%的履约保证金。履约保证金应以</w:t>
            </w:r>
            <w:r>
              <w:rPr>
                <w:rFonts w:hint="eastAsia" w:ascii="宋体" w:hAnsi="宋体" w:eastAsia="宋体" w:cs="宋体"/>
                <w:b w:val="0"/>
                <w:bCs w:val="0"/>
                <w:color w:val="auto"/>
                <w:sz w:val="24"/>
                <w:szCs w:val="24"/>
                <w:highlight w:val="none"/>
                <w:lang w:val="en-US" w:eastAsia="zh-CN"/>
              </w:rPr>
              <w:t>银行转账或</w:t>
            </w:r>
            <w:r>
              <w:rPr>
                <w:rFonts w:hint="eastAsia" w:ascii="宋体" w:hAnsi="宋体" w:eastAsia="宋体" w:cs="宋体"/>
                <w:b w:val="0"/>
                <w:bCs w:val="0"/>
                <w:color w:val="auto"/>
                <w:sz w:val="24"/>
                <w:szCs w:val="24"/>
                <w:highlight w:val="none"/>
              </w:rPr>
              <w:t>支票、汇票、本票或者金融机构、担保机构出具的保函等非现金形式提交。如未按时交纳履约保证金，视为自动放弃中标资格。</w:t>
            </w:r>
          </w:p>
          <w:p>
            <w:pPr>
              <w:pStyle w:val="21"/>
              <w:spacing w:line="360" w:lineRule="exact"/>
              <w:ind w:firstLine="0" w:firstLineChars="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履约保证金退还的时间：待中标人履行合同约定后，不计利息一次性退还。具体内容以合同约定为准。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27</w:t>
            </w:r>
          </w:p>
        </w:tc>
        <w:tc>
          <w:tcPr>
            <w:tcW w:w="1547" w:type="dxa"/>
            <w:tcBorders>
              <w:left w:val="single" w:color="auto" w:sz="4" w:space="0"/>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税票要求</w:t>
            </w:r>
          </w:p>
        </w:tc>
        <w:tc>
          <w:tcPr>
            <w:tcW w:w="8078" w:type="dxa"/>
            <w:tcBorders>
              <w:left w:val="single" w:color="auto" w:sz="4" w:space="0"/>
            </w:tcBorders>
            <w:noWrap w:val="0"/>
            <w:vAlign w:val="top"/>
          </w:tcPr>
          <w:p>
            <w:pPr>
              <w:spacing w:line="360" w:lineRule="exac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符合现行阶段要求。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22"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28</w:t>
            </w:r>
          </w:p>
        </w:tc>
        <w:tc>
          <w:tcPr>
            <w:tcW w:w="1547" w:type="dxa"/>
            <w:tcBorders>
              <w:left w:val="single" w:color="auto" w:sz="4" w:space="0"/>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培训要求</w:t>
            </w:r>
          </w:p>
        </w:tc>
        <w:tc>
          <w:tcPr>
            <w:tcW w:w="8078" w:type="dxa"/>
            <w:tcBorders>
              <w:left w:val="single" w:color="auto" w:sz="4" w:space="0"/>
            </w:tcBorders>
            <w:noWrap w:val="0"/>
            <w:vAlign w:val="top"/>
          </w:tcPr>
          <w:p>
            <w:pPr>
              <w:spacing w:line="360" w:lineRule="exac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详见招标文件技术需求部分。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29</w:t>
            </w:r>
          </w:p>
        </w:tc>
        <w:tc>
          <w:tcPr>
            <w:tcW w:w="1547" w:type="dxa"/>
            <w:tcBorders>
              <w:left w:val="single" w:color="auto" w:sz="4" w:space="0"/>
              <w:right w:val="single" w:color="auto" w:sz="4" w:space="0"/>
            </w:tcBorders>
            <w:noWrap w:val="0"/>
            <w:vAlign w:val="center"/>
          </w:tcPr>
          <w:p>
            <w:pPr>
              <w:spacing w:line="36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cs="宋体"/>
                <w:color w:val="auto"/>
                <w:sz w:val="24"/>
                <w:highlight w:val="none"/>
              </w:rPr>
              <w:t>*质保期</w:t>
            </w:r>
          </w:p>
        </w:tc>
        <w:tc>
          <w:tcPr>
            <w:tcW w:w="8078" w:type="dxa"/>
            <w:tcBorders>
              <w:left w:val="single" w:color="auto" w:sz="4" w:space="0"/>
            </w:tcBorders>
            <w:noWrap w:val="0"/>
            <w:vAlign w:val="top"/>
          </w:tcPr>
          <w:p>
            <w:pPr>
              <w:spacing w:line="360" w:lineRule="exact"/>
              <w:rPr>
                <w:rFonts w:hint="eastAsia" w:ascii="宋体" w:hAnsi="宋体" w:eastAsia="宋体" w:cs="宋体"/>
                <w:b w:val="0"/>
                <w:bCs w:val="0"/>
                <w:color w:val="auto"/>
                <w:kern w:val="2"/>
                <w:sz w:val="24"/>
                <w:szCs w:val="24"/>
                <w:highlight w:val="none"/>
                <w:lang w:val="en-US" w:eastAsia="zh-CN" w:bidi="ar-SA"/>
              </w:rPr>
            </w:pPr>
            <w:r>
              <w:rPr>
                <w:rFonts w:hint="eastAsia" w:ascii="宋体" w:hAnsi="宋体" w:cs="宋体"/>
                <w:color w:val="auto"/>
                <w:sz w:val="24"/>
                <w:highlight w:val="none"/>
              </w:rPr>
              <w:t>自货物最终验收合格之日起质保1年，质保期自验收合格之日起计算，保修期3年，保修期自质保期届满之日起计算。(质保期内的人工、备品、备件及耗材免费供应。保修期内的质量问题必须及时免费提供维修服务，人工、备品、备件及耗材</w:t>
            </w:r>
            <w:r>
              <w:rPr>
                <w:rFonts w:hint="eastAsia" w:ascii="宋体" w:hAnsi="宋体" w:cs="宋体"/>
                <w:bCs/>
                <w:color w:val="auto"/>
                <w:sz w:val="24"/>
                <w:highlight w:val="none"/>
              </w:rPr>
              <w:t>承诺保证供应且价格优惠</w:t>
            </w:r>
            <w:r>
              <w:rPr>
                <w:rFonts w:hint="eastAsia" w:ascii="宋体" w:hAnsi="宋体" w:cs="宋体"/>
                <w:color w:val="auto"/>
                <w:sz w:val="24"/>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30</w:t>
            </w:r>
          </w:p>
        </w:tc>
        <w:tc>
          <w:tcPr>
            <w:tcW w:w="1547" w:type="dxa"/>
            <w:tcBorders>
              <w:left w:val="single" w:color="auto" w:sz="4" w:space="0"/>
              <w:right w:val="single" w:color="auto" w:sz="4" w:space="0"/>
            </w:tcBorders>
            <w:noWrap w:val="0"/>
            <w:vAlign w:val="center"/>
          </w:tcPr>
          <w:p>
            <w:pPr>
              <w:spacing w:line="360" w:lineRule="exact"/>
              <w:jc w:val="center"/>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rPr>
              <w:t>*售后服务要求</w:t>
            </w:r>
          </w:p>
        </w:tc>
        <w:tc>
          <w:tcPr>
            <w:tcW w:w="8078" w:type="dxa"/>
            <w:tcBorders>
              <w:left w:val="single" w:color="auto" w:sz="4" w:space="0"/>
            </w:tcBorders>
            <w:noWrap w:val="0"/>
            <w:vAlign w:val="top"/>
          </w:tcPr>
          <w:p>
            <w:pPr>
              <w:jc w:val="left"/>
              <w:outlineLvl w:val="9"/>
              <w:rPr>
                <w:rFonts w:hint="eastAsia" w:ascii="宋体" w:hAnsi="宋体" w:cs="宋体"/>
                <w:bCs/>
                <w:sz w:val="24"/>
                <w:szCs w:val="24"/>
                <w:highlight w:val="none"/>
              </w:rPr>
            </w:pPr>
            <w:r>
              <w:rPr>
                <w:rFonts w:hint="eastAsia" w:ascii="宋体" w:hAnsi="宋体" w:cs="宋体"/>
                <w:bCs/>
                <w:sz w:val="24"/>
                <w:szCs w:val="24"/>
                <w:highlight w:val="none"/>
              </w:rPr>
              <w:t>货物最终由招标人验收，达到本招标文件规定的各项技术指标和设备的产品标准，并达到安全防护要求，</w:t>
            </w:r>
            <w:r>
              <w:rPr>
                <w:rFonts w:hint="eastAsia" w:ascii="宋体" w:hAnsi="宋体" w:cs="宋体"/>
                <w:bCs/>
                <w:sz w:val="24"/>
                <w:szCs w:val="24"/>
                <w:highlight w:val="none"/>
                <w:lang w:val="en-US" w:eastAsia="zh-CN"/>
              </w:rPr>
              <w:t>招标人可开展验收</w:t>
            </w:r>
            <w:r>
              <w:rPr>
                <w:rFonts w:hint="eastAsia" w:ascii="宋体" w:hAnsi="宋体" w:cs="宋体"/>
                <w:bCs/>
                <w:sz w:val="24"/>
                <w:szCs w:val="24"/>
                <w:highlight w:val="none"/>
              </w:rPr>
              <w:t xml:space="preserve">，验收以招标文件和中标人的投标文件技术参数资料为标准，如果上述文件有不一致之处，以对甲方有利的为准。如果在现场的安装和调试由于投标人的责任被延误，则质量保证期将相应延长。验收发现恶意提供劣质标的，如以次充好、低于招标技术参数、同批货物中明显有不合格产品等情况，招标人无论使用与否，投标人应无条件接受退货，并承担所有与认证鉴定有关的全部费用及招标人蒙受的全部直接损失。 </w:t>
            </w:r>
          </w:p>
          <w:p>
            <w:pPr>
              <w:jc w:val="left"/>
              <w:outlineLvl w:val="9"/>
              <w:rPr>
                <w:rFonts w:hint="eastAsia" w:ascii="宋体" w:hAnsi="宋体" w:cs="宋体"/>
                <w:bCs/>
                <w:sz w:val="24"/>
                <w:szCs w:val="24"/>
                <w:highlight w:val="none"/>
              </w:rPr>
            </w:pPr>
            <w:r>
              <w:rPr>
                <w:rFonts w:hint="eastAsia" w:ascii="宋体" w:hAnsi="宋体" w:cs="宋体"/>
                <w:bCs/>
                <w:sz w:val="24"/>
                <w:szCs w:val="24"/>
                <w:highlight w:val="none"/>
              </w:rPr>
              <w:t>备件供应和售后服务设施：</w:t>
            </w:r>
          </w:p>
          <w:p>
            <w:pPr>
              <w:jc w:val="left"/>
              <w:outlineLvl w:val="9"/>
              <w:rPr>
                <w:rFonts w:hint="eastAsia" w:ascii="宋体" w:hAnsi="宋体" w:cs="宋体"/>
                <w:bCs/>
                <w:sz w:val="24"/>
                <w:szCs w:val="24"/>
                <w:highlight w:val="none"/>
              </w:rPr>
            </w:pPr>
            <w:r>
              <w:rPr>
                <w:rFonts w:hint="eastAsia" w:ascii="宋体" w:hAnsi="宋体" w:cs="宋体"/>
                <w:bCs/>
                <w:sz w:val="24"/>
                <w:szCs w:val="24"/>
                <w:highlight w:val="none"/>
              </w:rPr>
              <w:t>1、备件供应：投标人应承诺提供自验收合格之日起至质保期和保修期内的备品、备件及耗材供应。</w:t>
            </w:r>
          </w:p>
          <w:p>
            <w:pPr>
              <w:jc w:val="left"/>
              <w:outlineLvl w:val="9"/>
              <w:rPr>
                <w:rFonts w:hint="eastAsia" w:ascii="宋体" w:hAnsi="宋体" w:cs="宋体"/>
                <w:bCs/>
                <w:sz w:val="24"/>
                <w:szCs w:val="24"/>
                <w:highlight w:val="none"/>
              </w:rPr>
            </w:pPr>
            <w:r>
              <w:rPr>
                <w:rFonts w:hint="eastAsia" w:ascii="宋体" w:hAnsi="宋体" w:cs="宋体"/>
                <w:bCs/>
                <w:sz w:val="24"/>
                <w:szCs w:val="24"/>
                <w:highlight w:val="none"/>
              </w:rPr>
              <w:t xml:space="preserve">2、有完善售后体系：    </w:t>
            </w:r>
          </w:p>
          <w:p>
            <w:pPr>
              <w:jc w:val="left"/>
              <w:outlineLvl w:val="9"/>
              <w:rPr>
                <w:rFonts w:hint="eastAsia" w:ascii="宋体" w:hAnsi="宋体" w:cs="宋体"/>
                <w:bCs/>
                <w:sz w:val="24"/>
                <w:szCs w:val="24"/>
                <w:highlight w:val="none"/>
              </w:rPr>
            </w:pPr>
            <w:r>
              <w:rPr>
                <w:rFonts w:hint="eastAsia" w:ascii="宋体" w:hAnsi="宋体" w:cs="宋体"/>
                <w:bCs/>
                <w:sz w:val="24"/>
                <w:szCs w:val="24"/>
                <w:highlight w:val="none"/>
              </w:rPr>
              <w:t>2.1所投产品保修期内的质量问题，投标人必须及时免费提供维修服务。保修期外、正常服役期内，有义务继续提供维修、零配件供应等服务。实行缺陷产品召回制，免费负责维修和更换零部件。如有重大质量问题，必须按照国内相关法律</w:t>
            </w:r>
            <w:r>
              <w:rPr>
                <w:rFonts w:hint="eastAsia" w:ascii="宋体" w:hAnsi="宋体" w:cs="宋体"/>
                <w:bCs/>
                <w:sz w:val="24"/>
                <w:szCs w:val="24"/>
                <w:highlight w:val="none"/>
                <w:lang w:val="en-US" w:eastAsia="zh-CN"/>
              </w:rPr>
              <w:t>规定</w:t>
            </w:r>
            <w:r>
              <w:rPr>
                <w:rFonts w:hint="eastAsia" w:ascii="宋体" w:hAnsi="宋体" w:cs="宋体"/>
                <w:bCs/>
                <w:sz w:val="24"/>
                <w:szCs w:val="24"/>
                <w:highlight w:val="none"/>
              </w:rPr>
              <w:t>、商务合同</w:t>
            </w:r>
            <w:r>
              <w:rPr>
                <w:rFonts w:hint="eastAsia" w:ascii="宋体" w:hAnsi="宋体" w:cs="宋体"/>
                <w:bCs/>
                <w:sz w:val="24"/>
                <w:szCs w:val="24"/>
                <w:highlight w:val="none"/>
                <w:lang w:val="en-US" w:eastAsia="zh-CN"/>
              </w:rPr>
              <w:t>约定</w:t>
            </w:r>
            <w:r>
              <w:rPr>
                <w:rFonts w:hint="eastAsia" w:ascii="宋体" w:hAnsi="宋体" w:cs="宋体"/>
                <w:bCs/>
                <w:sz w:val="24"/>
                <w:szCs w:val="24"/>
                <w:highlight w:val="none"/>
              </w:rPr>
              <w:t>程序进行退货、更换装备等。</w:t>
            </w:r>
          </w:p>
          <w:p>
            <w:pPr>
              <w:jc w:val="left"/>
              <w:outlineLvl w:val="9"/>
              <w:rPr>
                <w:rFonts w:hint="eastAsia" w:ascii="宋体" w:hAnsi="宋体" w:cs="宋体"/>
                <w:bCs/>
                <w:sz w:val="24"/>
                <w:szCs w:val="24"/>
                <w:highlight w:val="none"/>
              </w:rPr>
            </w:pPr>
            <w:r>
              <w:rPr>
                <w:rFonts w:hint="eastAsia" w:ascii="宋体" w:hAnsi="宋体" w:cs="宋体"/>
                <w:bCs/>
                <w:sz w:val="24"/>
                <w:szCs w:val="24"/>
                <w:highlight w:val="none"/>
              </w:rPr>
              <w:t>2.2提供售后培训和定期巡检。装备交付时对指战员进行集中培训，确保学懂弄通并熟练操作。每年派技术人员到消防救援站进行巡检，建立常态化培训和巡检机制。</w:t>
            </w:r>
          </w:p>
          <w:p>
            <w:pPr>
              <w:jc w:val="left"/>
              <w:outlineLvl w:val="9"/>
              <w:rPr>
                <w:rFonts w:hint="eastAsia" w:ascii="宋体" w:hAnsi="宋体" w:cs="宋体"/>
                <w:bCs/>
                <w:sz w:val="24"/>
                <w:szCs w:val="24"/>
                <w:highlight w:val="none"/>
              </w:rPr>
            </w:pPr>
            <w:r>
              <w:rPr>
                <w:rFonts w:hint="eastAsia" w:ascii="宋体" w:hAnsi="宋体" w:cs="宋体"/>
                <w:bCs/>
                <w:sz w:val="24"/>
                <w:szCs w:val="24"/>
                <w:highlight w:val="none"/>
              </w:rPr>
              <w:t>2.3投标人需设立24小时值守电话，畅通即时响应售后受理渠道。维修技术人员必须在指定时间内到达现场并开展维修。遇不可抗力，不能按规定到达维修地点的，要及时通知报修单位并说明原因。</w:t>
            </w:r>
          </w:p>
          <w:p>
            <w:pPr>
              <w:jc w:val="left"/>
              <w:outlineLvl w:val="9"/>
              <w:rPr>
                <w:rFonts w:hint="eastAsia" w:ascii="宋体" w:hAnsi="宋体" w:cs="宋体"/>
                <w:bCs/>
                <w:sz w:val="24"/>
                <w:szCs w:val="24"/>
                <w:highlight w:val="none"/>
              </w:rPr>
            </w:pPr>
            <w:r>
              <w:rPr>
                <w:rFonts w:hint="eastAsia" w:ascii="宋体" w:hAnsi="宋体" w:cs="宋体"/>
                <w:bCs/>
                <w:sz w:val="24"/>
                <w:szCs w:val="24"/>
                <w:highlight w:val="none"/>
              </w:rPr>
              <w:t>2.4提供联勤联动机制。遇有重大灾害事故处置，要快速响应，投标人需选派素质好、业务精的人员遂行技术保障，提供技术支持、现场抢修等应急技术服务。</w:t>
            </w:r>
          </w:p>
          <w:p>
            <w:pPr>
              <w:jc w:val="left"/>
              <w:outlineLvl w:val="9"/>
              <w:rPr>
                <w:rFonts w:hint="eastAsia" w:ascii="宋体" w:hAnsi="宋体" w:cs="宋体"/>
                <w:bCs/>
                <w:sz w:val="24"/>
                <w:szCs w:val="24"/>
                <w:highlight w:val="none"/>
              </w:rPr>
            </w:pPr>
            <w:r>
              <w:rPr>
                <w:rFonts w:hint="eastAsia" w:ascii="宋体" w:hAnsi="宋体" w:cs="宋体"/>
                <w:bCs/>
                <w:sz w:val="24"/>
                <w:szCs w:val="24"/>
                <w:highlight w:val="none"/>
              </w:rPr>
              <w:t>2.5投标人对消防救援队伍提出的维修需求,要及时响应、远程指导修复。对</w:t>
            </w:r>
            <w:r>
              <w:rPr>
                <w:rFonts w:hint="eastAsia" w:ascii="宋体" w:hAnsi="宋体" w:cs="宋体"/>
                <w:bCs/>
                <w:sz w:val="24"/>
                <w:szCs w:val="24"/>
                <w:highlight w:val="none"/>
                <w:lang w:val="en-US" w:eastAsia="zh-CN"/>
              </w:rPr>
              <w:t>远程指导</w:t>
            </w:r>
            <w:r>
              <w:rPr>
                <w:rFonts w:hint="eastAsia" w:ascii="宋体" w:hAnsi="宋体" w:cs="宋体"/>
                <w:bCs/>
                <w:sz w:val="24"/>
                <w:szCs w:val="24"/>
                <w:highlight w:val="none"/>
              </w:rPr>
              <w:t>不能修复的,要派技术人员48小时内到场维修。国内有配件的一般故障在48小时内修复,较大故障一周内修复。国内没有配件的,应在60日内提供配件并修复。</w:t>
            </w:r>
          </w:p>
          <w:p>
            <w:pPr>
              <w:jc w:val="left"/>
              <w:outlineLvl w:val="9"/>
              <w:rPr>
                <w:rFonts w:hint="eastAsia" w:ascii="宋体" w:hAnsi="宋体" w:cs="宋体"/>
                <w:bCs/>
                <w:sz w:val="24"/>
                <w:szCs w:val="24"/>
                <w:highlight w:val="none"/>
              </w:rPr>
            </w:pPr>
            <w:r>
              <w:rPr>
                <w:rFonts w:hint="eastAsia" w:ascii="宋体" w:hAnsi="宋体" w:cs="宋体"/>
                <w:bCs/>
                <w:sz w:val="24"/>
                <w:szCs w:val="24"/>
                <w:highlight w:val="none"/>
              </w:rPr>
              <w:t xml:space="preserve">2.6在质保期内发生的质量问题,或在寿命期内发现的设计、制造缺陷, 投标人负责召回,召回时间不得超过60日。 </w:t>
            </w:r>
          </w:p>
          <w:p>
            <w:pPr>
              <w:jc w:val="left"/>
              <w:outlineLvl w:val="9"/>
              <w:rPr>
                <w:rFonts w:hint="eastAsia" w:ascii="宋体" w:hAnsi="宋体" w:cs="宋体"/>
                <w:bCs/>
                <w:sz w:val="24"/>
                <w:szCs w:val="24"/>
                <w:highlight w:val="none"/>
              </w:rPr>
            </w:pPr>
            <w:r>
              <w:rPr>
                <w:rFonts w:hint="eastAsia" w:ascii="宋体" w:hAnsi="宋体" w:cs="宋体"/>
                <w:bCs/>
                <w:sz w:val="24"/>
                <w:szCs w:val="24"/>
                <w:highlight w:val="none"/>
              </w:rPr>
              <w:t xml:space="preserve">投标人应提供的伴随服务 1)实施或监督所供货物的现场组装和/或试运行；2)提供货物组装和/或维修所需的工具；3)为所供货物提供详细的操作和维护手册；4)在双方商定的一定期限内对所供货物实施运行或监督或维护或修理，但前提条件；是该服务并不能免除卖方在合同保证期内所承担的义务；5)在卖方厂家和/或在项目现场就所供货物的组装、试运行、运行、维护和/或修理对买方人员进行培训；6)随附资料：除列明装备名称型号外，必须附有详细的中文技术规格书和清晰的外观照片，提供全寿命周期的主要耗损件、易损件及更换总成的目录和年度价格清单，并承诺保证供应且价格合理；合同应明确维修期周转备品保障、上门服务响应时间、零配件供应周期、工时费等服务标准。注：伴随服务的费用包含在合同价中，需单独列出但不单独进行支付。 </w:t>
            </w:r>
          </w:p>
          <w:p>
            <w:pPr>
              <w:spacing w:line="360" w:lineRule="exac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cs="宋体"/>
                <w:bCs/>
                <w:sz w:val="24"/>
                <w:szCs w:val="24"/>
                <w:highlight w:val="none"/>
              </w:rPr>
              <w:t>3、具体条件以合同约定为准。</w:t>
            </w:r>
            <w:r>
              <w:rPr>
                <w:rFonts w:hint="eastAsia" w:ascii="宋体" w:hAnsi="宋体" w:eastAsia="宋体" w:cs="宋体"/>
                <w:b w:val="0"/>
                <w:bCs w:val="0"/>
                <w:color w:val="auto"/>
                <w:sz w:val="24"/>
                <w:highlight w:val="none"/>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67" w:hRule="atLeast"/>
          <w:jc w:val="center"/>
        </w:trPr>
        <w:tc>
          <w:tcPr>
            <w:tcW w:w="704" w:type="dxa"/>
            <w:tcBorders>
              <w:right w:val="single" w:color="auto" w:sz="4" w:space="0"/>
            </w:tcBorders>
            <w:noWrap w:val="0"/>
            <w:vAlign w:val="center"/>
          </w:tcPr>
          <w:p>
            <w:pPr>
              <w:spacing w:line="360" w:lineRule="exact"/>
              <w:jc w:val="center"/>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31</w:t>
            </w:r>
          </w:p>
        </w:tc>
        <w:tc>
          <w:tcPr>
            <w:tcW w:w="1547" w:type="dxa"/>
            <w:tcBorders>
              <w:left w:val="single" w:color="auto" w:sz="4" w:space="0"/>
              <w:right w:val="single" w:color="auto" w:sz="4" w:space="0"/>
            </w:tcBorders>
            <w:noWrap w:val="0"/>
            <w:vAlign w:val="center"/>
          </w:tcPr>
          <w:p>
            <w:pPr>
              <w:spacing w:line="36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rPr>
              <w:t>*中标服务费</w:t>
            </w:r>
          </w:p>
        </w:tc>
        <w:tc>
          <w:tcPr>
            <w:tcW w:w="8078" w:type="dxa"/>
            <w:tcBorders>
              <w:left w:val="single" w:color="auto" w:sz="4" w:space="0"/>
            </w:tcBorders>
            <w:noWrap w:val="0"/>
            <w:vAlign w:val="center"/>
          </w:tcPr>
          <w:p>
            <w:pPr>
              <w:spacing w:line="360" w:lineRule="exac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rPr>
              <w:t>收取标准：执行《国家发展改革委关于进一步放开建设项目专业服务价格的通知》（发改价格〔2015〕299号），参照国家发展计划委员会计价价格[2002]1980号文件和《国家发改委办公厅关于招标代理服务费收费有关问题的通知》（发改办价格[2003]857号）计取，向中标人收取招标代理服务费。本项目按折扣比例0.6收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10329" w:type="dxa"/>
            <w:gridSpan w:val="3"/>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rPr>
              <w:t>需要补充的其他内容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noWrap w:val="0"/>
            <w:vAlign w:val="center"/>
          </w:tcPr>
          <w:p>
            <w:pPr>
              <w:spacing w:line="360" w:lineRule="exact"/>
              <w:jc w:val="center"/>
              <w:rPr>
                <w:rFonts w:hint="default" w:ascii="宋体" w:hAnsi="宋体" w:eastAsia="宋体" w:cs="宋体"/>
                <w:b w:val="0"/>
                <w:bCs w:val="0"/>
                <w:color w:val="auto"/>
                <w:sz w:val="24"/>
                <w:szCs w:val="24"/>
                <w:highlight w:val="none"/>
                <w:lang w:val="en-US" w:eastAsia="zh-CN"/>
              </w:rPr>
            </w:pPr>
            <w:r>
              <w:rPr>
                <w:rFonts w:hint="eastAsia" w:ascii="宋体" w:hAnsi="宋体" w:cs="宋体"/>
                <w:color w:val="auto"/>
                <w:sz w:val="24"/>
                <w:szCs w:val="24"/>
                <w:highlight w:val="none"/>
                <w:lang w:val="en-US" w:eastAsia="zh-CN"/>
              </w:rPr>
              <w:t>32</w:t>
            </w:r>
          </w:p>
        </w:tc>
        <w:tc>
          <w:tcPr>
            <w:tcW w:w="1547" w:type="dxa"/>
            <w:tcBorders>
              <w:left w:val="single" w:color="auto" w:sz="4" w:space="0"/>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“*”条款</w:t>
            </w:r>
          </w:p>
        </w:tc>
        <w:tc>
          <w:tcPr>
            <w:tcW w:w="8078" w:type="dxa"/>
            <w:tcBorders>
              <w:left w:val="single" w:color="auto" w:sz="4" w:space="0"/>
            </w:tcBorders>
            <w:noWrap w:val="0"/>
            <w:vAlign w:val="center"/>
          </w:tcPr>
          <w:p>
            <w:pPr>
              <w:numPr>
                <w:ilvl w:val="0"/>
                <w:numId w:val="1"/>
              </w:numPr>
              <w:spacing w:line="360" w:lineRule="exact"/>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在招标文件中，商务和技术的主要条款用“*”表示，这些主要条款的任何负偏离将否决其投标。</w:t>
            </w:r>
          </w:p>
          <w:p>
            <w:pPr>
              <w:numPr>
                <w:ilvl w:val="0"/>
                <w:numId w:val="1"/>
              </w:numPr>
              <w:spacing w:line="360" w:lineRule="exact"/>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招标人不对投标人的技术服务方案做出补偿。</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02" w:hRule="atLeast"/>
          <w:jc w:val="center"/>
        </w:trPr>
        <w:tc>
          <w:tcPr>
            <w:tcW w:w="704" w:type="dxa"/>
            <w:tcBorders>
              <w:right w:val="single" w:color="auto" w:sz="4" w:space="0"/>
            </w:tcBorders>
            <w:noWrap w:val="0"/>
            <w:vAlign w:val="center"/>
          </w:tcPr>
          <w:p>
            <w:pPr>
              <w:spacing w:line="360" w:lineRule="exact"/>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33</w:t>
            </w:r>
          </w:p>
        </w:tc>
        <w:tc>
          <w:tcPr>
            <w:tcW w:w="1547" w:type="dxa"/>
            <w:tcBorders>
              <w:left w:val="single" w:color="auto" w:sz="4" w:space="0"/>
              <w:right w:val="single" w:color="auto" w:sz="4" w:space="0"/>
            </w:tcBorders>
            <w:noWrap w:val="0"/>
            <w:vAlign w:val="center"/>
          </w:tcPr>
          <w:p>
            <w:pPr>
              <w:spacing w:line="360" w:lineRule="exact"/>
              <w:jc w:val="center"/>
              <w:rPr>
                <w:rFonts w:hint="eastAsia"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其他</w:t>
            </w:r>
          </w:p>
        </w:tc>
        <w:tc>
          <w:tcPr>
            <w:tcW w:w="8078" w:type="dxa"/>
            <w:tcBorders>
              <w:left w:val="single" w:color="auto" w:sz="4" w:space="0"/>
            </w:tcBorders>
            <w:noWrap w:val="0"/>
            <w:vAlign w:val="center"/>
          </w:tcPr>
          <w:p>
            <w:pPr>
              <w:numPr>
                <w:ilvl w:val="0"/>
                <w:numId w:val="0"/>
              </w:numPr>
              <w:spacing w:line="36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特别注意：投标人应如实填写所提供的参数，不允许全部复制粘贴招标文件提供的文字及区间数值，否则将视为非实质性响应招标文件技术参数，作为无效标处理。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02" w:hRule="atLeast"/>
          <w:jc w:val="center"/>
        </w:trPr>
        <w:tc>
          <w:tcPr>
            <w:tcW w:w="704" w:type="dxa"/>
            <w:tcBorders>
              <w:right w:val="single" w:color="auto" w:sz="4" w:space="0"/>
            </w:tcBorders>
            <w:noWrap w:val="0"/>
            <w:vAlign w:val="center"/>
          </w:tcPr>
          <w:p>
            <w:pPr>
              <w:spacing w:line="360" w:lineRule="exact"/>
              <w:jc w:val="center"/>
              <w:rPr>
                <w:rFonts w:hint="default" w:ascii="宋体" w:hAnsi="宋体" w:eastAsia="宋体" w:cs="宋体"/>
                <w:color w:val="auto"/>
                <w:kern w:val="2"/>
                <w:sz w:val="24"/>
                <w:szCs w:val="24"/>
                <w:highlight w:val="none"/>
                <w:lang w:val="en-US" w:eastAsia="zh-CN" w:bidi="ar-SA"/>
              </w:rPr>
            </w:pPr>
            <w:r>
              <w:rPr>
                <w:rFonts w:hint="eastAsia" w:ascii="宋体" w:hAnsi="宋体" w:cs="宋体"/>
                <w:color w:val="auto"/>
                <w:sz w:val="24"/>
                <w:szCs w:val="24"/>
                <w:highlight w:val="none"/>
                <w:lang w:val="en-US" w:eastAsia="zh-CN"/>
              </w:rPr>
              <w:t>34</w:t>
            </w:r>
          </w:p>
        </w:tc>
        <w:tc>
          <w:tcPr>
            <w:tcW w:w="1547" w:type="dxa"/>
            <w:tcBorders>
              <w:left w:val="single" w:color="auto" w:sz="4" w:space="0"/>
              <w:right w:val="single" w:color="auto" w:sz="4" w:space="0"/>
            </w:tcBorders>
            <w:noWrap w:val="0"/>
            <w:vAlign w:val="center"/>
          </w:tcPr>
          <w:p>
            <w:pPr>
              <w:pStyle w:val="17"/>
              <w:jc w:val="center"/>
              <w:rPr>
                <w:rFonts w:hint="eastAsia" w:ascii="宋体" w:hAnsi="宋体" w:eastAsia="宋体" w:cs="宋体"/>
                <w:b/>
                <w:bCs/>
                <w:color w:val="auto"/>
                <w:kern w:val="2"/>
                <w:sz w:val="24"/>
                <w:szCs w:val="24"/>
                <w:highlight w:val="none"/>
                <w:lang w:val="en-US" w:eastAsia="zh-CN" w:bidi="ar-SA"/>
              </w:rPr>
            </w:pPr>
            <w:r>
              <w:rPr>
                <w:rFonts w:hint="eastAsia" w:ascii="宋体" w:eastAsia="宋体" w:cs="宋体"/>
                <w:b/>
                <w:bCs/>
                <w:color w:val="auto"/>
                <w:kern w:val="2"/>
                <w:sz w:val="24"/>
                <w:szCs w:val="24"/>
                <w:highlight w:val="none"/>
                <w:lang w:val="en-US" w:eastAsia="zh-CN" w:bidi="ar-SA"/>
              </w:rPr>
              <w:t>中小企业</w:t>
            </w:r>
          </w:p>
        </w:tc>
        <w:tc>
          <w:tcPr>
            <w:tcW w:w="8078" w:type="dxa"/>
            <w:tcBorders>
              <w:left w:val="single" w:color="auto" w:sz="4" w:space="0"/>
            </w:tcBorders>
            <w:noWrap w:val="0"/>
            <w:vAlign w:val="center"/>
          </w:tcPr>
          <w:p>
            <w:pPr>
              <w:numPr>
                <w:ilvl w:val="0"/>
                <w:numId w:val="0"/>
              </w:numPr>
              <w:spacing w:line="360" w:lineRule="exact"/>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本项目落实《政府采购促进中小企业发展管理办法》，专门面向中小企业预留情况见招标公告2.2条款</w:t>
            </w:r>
          </w:p>
          <w:p>
            <w:pPr>
              <w:numPr>
                <w:ilvl w:val="0"/>
                <w:numId w:val="0"/>
              </w:numPr>
              <w:spacing w:line="360" w:lineRule="exact"/>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1.如专门面向中小企业采购，标书内提供中小企业声明函。</w:t>
            </w:r>
          </w:p>
          <w:p>
            <w:pPr>
              <w:numPr>
                <w:ilvl w:val="0"/>
                <w:numId w:val="0"/>
              </w:numPr>
              <w:spacing w:line="360" w:lineRule="exact"/>
              <w:ind w:left="0" w:leftChars="0" w:firstLine="0" w:firstLineChars="0"/>
              <w:jc w:val="left"/>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rPr>
              <w:t>2.如非专门面向中小企业采购，根据财库【2022】19号文件规定，对小型和微型企业的产品给予10%的价格扣除，并按照扣除后的价格参加评审。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02" w:hRule="atLeast"/>
          <w:jc w:val="center"/>
        </w:trPr>
        <w:tc>
          <w:tcPr>
            <w:tcW w:w="0" w:type="auto"/>
            <w:vAlign w:val="center"/>
          </w:tcPr>
          <w:p>
            <w:pPr>
              <w:spacing w:line="360" w:lineRule="exact"/>
              <w:jc w:val="center"/>
              <w:rPr>
                <w:rFonts w:hint="default" w:ascii="宋体" w:hAnsi="宋体" w:eastAsia="宋体" w:cs="宋体"/>
                <w:color w:val="auto"/>
                <w:kern w:val="2"/>
                <w:sz w:val="24"/>
                <w:szCs w:val="24"/>
                <w:highlight w:val="none"/>
                <w:lang w:val="en-US" w:eastAsia="zh-CN" w:bidi="ar-SA"/>
              </w:rPr>
            </w:pPr>
            <w:r>
              <w:rPr>
                <w:rFonts w:hint="eastAsia" w:ascii="宋体" w:hAnsi="宋体" w:cs="宋体"/>
                <w:color w:val="auto"/>
                <w:sz w:val="24"/>
                <w:szCs w:val="24"/>
                <w:highlight w:val="none"/>
                <w:lang w:val="en-US" w:eastAsia="zh-CN"/>
              </w:rPr>
              <w:t>35</w:t>
            </w:r>
          </w:p>
        </w:tc>
        <w:tc>
          <w:tcPr>
            <w:tcW w:w="0" w:type="auto"/>
            <w:vAlign w:val="center"/>
          </w:tcPr>
          <w:p>
            <w:pPr>
              <w:spacing w:line="36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lang w:val="en-US" w:eastAsia="zh-CN"/>
              </w:rPr>
              <w:t>信用信息查询渠道及截止时点</w:t>
            </w:r>
          </w:p>
        </w:tc>
        <w:tc>
          <w:tcPr>
            <w:tcW w:w="0" w:type="auto"/>
            <w:vAlign w:val="center"/>
          </w:tcPr>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1、查询渠道：“信用中国”网站（www.creditchina.gov.cn）及中国政府采购网</w:t>
            </w:r>
            <w:r>
              <w:rPr>
                <w:rFonts w:hint="eastAsia" w:ascii="宋体" w:hAnsi="宋体" w:cs="宋体"/>
                <w:b w:val="0"/>
                <w:bCs w:val="0"/>
                <w:color w:val="auto"/>
                <w:sz w:val="24"/>
                <w:highlight w:val="none"/>
                <w:lang w:val="en-US" w:eastAsia="zh-CN"/>
              </w:rPr>
              <w:t>（</w:t>
            </w:r>
            <w:r>
              <w:rPr>
                <w:rFonts w:hint="eastAsia" w:ascii="宋体" w:hAnsi="宋体" w:eastAsia="宋体" w:cs="宋体"/>
                <w:b w:val="0"/>
                <w:bCs w:val="0"/>
                <w:color w:val="auto"/>
                <w:sz w:val="24"/>
                <w:highlight w:val="none"/>
                <w:lang w:val="en-US" w:eastAsia="zh-CN"/>
              </w:rPr>
              <w:t>www.ccgp.gov.cn）；</w:t>
            </w:r>
          </w:p>
          <w:p>
            <w:pPr>
              <w:spacing w:line="360" w:lineRule="exac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lang w:val="en-US" w:eastAsia="zh-CN"/>
              </w:rPr>
              <w:t>2、截止时点：</w:t>
            </w:r>
            <w:r>
              <w:rPr>
                <w:rFonts w:hint="eastAsia" w:ascii="宋体" w:hAnsi="宋体" w:cs="宋体"/>
                <w:color w:val="auto"/>
                <w:sz w:val="24"/>
              </w:rPr>
              <w:t>202</w:t>
            </w:r>
            <w:r>
              <w:rPr>
                <w:rFonts w:hint="eastAsia" w:ascii="宋体" w:hAnsi="宋体" w:cs="宋体"/>
                <w:color w:val="auto"/>
                <w:sz w:val="24"/>
                <w:lang w:val="en-US" w:eastAsia="zh-CN"/>
              </w:rPr>
              <w:t>4</w:t>
            </w:r>
            <w:r>
              <w:rPr>
                <w:rFonts w:hint="eastAsia" w:ascii="宋体" w:hAnsi="宋体" w:cs="宋体"/>
                <w:color w:val="auto"/>
                <w:sz w:val="24"/>
              </w:rPr>
              <w:t>年</w:t>
            </w:r>
            <w:r>
              <w:rPr>
                <w:rFonts w:hint="eastAsia" w:ascii="宋体" w:hAnsi="宋体" w:cs="宋体"/>
                <w:color w:val="auto"/>
                <w:sz w:val="24"/>
                <w:lang w:val="en-US" w:eastAsia="zh-CN"/>
              </w:rPr>
              <w:t>01</w:t>
            </w:r>
            <w:r>
              <w:rPr>
                <w:rFonts w:hint="eastAsia" w:ascii="宋体" w:hAnsi="宋体" w:cs="宋体"/>
                <w:color w:val="auto"/>
                <w:sz w:val="24"/>
              </w:rPr>
              <w:t>月</w:t>
            </w:r>
            <w:r>
              <w:rPr>
                <w:rFonts w:hint="eastAsia" w:ascii="宋体" w:hAnsi="宋体" w:cs="宋体"/>
                <w:color w:val="auto"/>
                <w:sz w:val="24"/>
                <w:lang w:val="en-US" w:eastAsia="zh-CN"/>
              </w:rPr>
              <w:t>25</w:t>
            </w:r>
            <w:r>
              <w:rPr>
                <w:rFonts w:hint="eastAsia" w:ascii="宋体" w:hAnsi="宋体" w:cs="宋体"/>
                <w:color w:val="auto"/>
                <w:sz w:val="24"/>
              </w:rPr>
              <w:t>日</w:t>
            </w:r>
            <w:r>
              <w:rPr>
                <w:rFonts w:hint="eastAsia" w:ascii="宋体" w:hAnsi="宋体" w:eastAsia="宋体" w:cs="宋体"/>
                <w:b w:val="0"/>
                <w:bCs w:val="0"/>
                <w:color w:val="auto"/>
                <w:sz w:val="24"/>
                <w:highlight w:val="none"/>
                <w:lang w:val="en-US" w:eastAsia="zh-CN"/>
              </w:rPr>
              <w:t>16时00分（由采购人或者采购代理机构查询）</w:t>
            </w:r>
          </w:p>
        </w:tc>
      </w:tr>
    </w:tbl>
    <w:p>
      <w:pPr>
        <w:rPr>
          <w:rFonts w:hint="eastAsia" w:ascii="黑体" w:eastAsia="黑体"/>
          <w:b/>
          <w:color w:val="auto"/>
          <w:sz w:val="36"/>
          <w:szCs w:val="36"/>
          <w:highlight w:val="none"/>
          <w:lang w:eastAsia="zh-CN"/>
        </w:rPr>
      </w:pPr>
      <w:r>
        <w:rPr>
          <w:rFonts w:hint="eastAsia" w:ascii="黑体" w:eastAsia="黑体"/>
          <w:b/>
          <w:color w:val="auto"/>
          <w:sz w:val="36"/>
          <w:szCs w:val="36"/>
          <w:highlight w:val="none"/>
          <w:lang w:eastAsia="zh-CN"/>
        </w:rPr>
        <w:br w:type="page"/>
      </w:r>
    </w:p>
    <w:p>
      <w:pPr>
        <w:spacing w:line="360" w:lineRule="auto"/>
        <w:jc w:val="center"/>
        <w:rPr>
          <w:rFonts w:ascii="黑体" w:eastAsia="黑体"/>
          <w:b/>
          <w:color w:val="auto"/>
          <w:sz w:val="36"/>
          <w:szCs w:val="36"/>
          <w:highlight w:val="none"/>
        </w:rPr>
      </w:pPr>
      <w:r>
        <w:rPr>
          <w:rFonts w:hint="eastAsia" w:ascii="黑体" w:eastAsia="黑体"/>
          <w:b/>
          <w:color w:val="auto"/>
          <w:sz w:val="36"/>
          <w:szCs w:val="36"/>
          <w:highlight w:val="none"/>
          <w:lang w:eastAsia="zh-CN"/>
        </w:rPr>
        <w:t>投标人须知</w:t>
      </w:r>
    </w:p>
    <w:p>
      <w:pPr>
        <w:pStyle w:val="4"/>
        <w:spacing w:line="360" w:lineRule="auto"/>
        <w:jc w:val="center"/>
        <w:rPr>
          <w:rFonts w:hint="default" w:ascii="宋体" w:hAnsi="宋体" w:eastAsia="宋体" w:cs="宋体"/>
          <w:bCs w:val="0"/>
          <w:color w:val="auto"/>
          <w:sz w:val="24"/>
          <w:highlight w:val="none"/>
        </w:rPr>
      </w:pPr>
      <w:r>
        <w:rPr>
          <w:rFonts w:ascii="宋体" w:hAnsi="宋体" w:eastAsia="宋体" w:cs="宋体"/>
          <w:bCs w:val="0"/>
          <w:color w:val="auto"/>
          <w:sz w:val="24"/>
          <w:highlight w:val="none"/>
        </w:rPr>
        <w:t>一、总则</w:t>
      </w:r>
    </w:p>
    <w:p>
      <w:pPr>
        <w:spacing w:line="360" w:lineRule="auto"/>
        <w:ind w:left="833" w:leftChars="228" w:hanging="354" w:hangingChars="147"/>
        <w:outlineLvl w:val="0"/>
        <w:rPr>
          <w:rFonts w:hint="eastAsia" w:ascii="宋体" w:hAnsi="宋体" w:eastAsia="宋体" w:cs="宋体"/>
          <w:b/>
          <w:color w:val="auto"/>
          <w:sz w:val="24"/>
          <w:highlight w:val="none"/>
          <w:lang w:eastAsia="zh-CN"/>
        </w:rPr>
      </w:pPr>
      <w:bookmarkStart w:id="37" w:name="_Toc4313"/>
      <w:bookmarkStart w:id="38" w:name="_Toc20296"/>
      <w:r>
        <w:rPr>
          <w:rFonts w:hint="eastAsia" w:ascii="宋体" w:hAnsi="宋体" w:cs="宋体"/>
          <w:b/>
          <w:color w:val="auto"/>
          <w:sz w:val="24"/>
          <w:highlight w:val="none"/>
        </w:rPr>
        <w:t>1、资金来源：</w:t>
      </w:r>
      <w:bookmarkEnd w:id="37"/>
      <w:r>
        <w:rPr>
          <w:rFonts w:hint="eastAsia" w:ascii="宋体" w:hAnsi="宋体" w:cs="宋体"/>
          <w:b/>
          <w:color w:val="auto"/>
          <w:sz w:val="24"/>
          <w:highlight w:val="none"/>
        </w:rPr>
        <w:t>财政资金</w:t>
      </w:r>
      <w:bookmarkEnd w:id="38"/>
    </w:p>
    <w:p>
      <w:pPr>
        <w:spacing w:line="360" w:lineRule="auto"/>
        <w:ind w:firstLine="482" w:firstLineChars="200"/>
        <w:outlineLvl w:val="0"/>
        <w:rPr>
          <w:rFonts w:ascii="宋体" w:hAnsi="宋体" w:cs="宋体"/>
          <w:b/>
          <w:color w:val="auto"/>
          <w:sz w:val="24"/>
          <w:highlight w:val="none"/>
        </w:rPr>
      </w:pPr>
      <w:bookmarkStart w:id="39" w:name="_Toc7406"/>
      <w:bookmarkStart w:id="40" w:name="_Toc6970"/>
      <w:r>
        <w:rPr>
          <w:rFonts w:hint="eastAsia" w:ascii="宋体" w:hAnsi="宋体" w:cs="宋体"/>
          <w:b/>
          <w:color w:val="auto"/>
          <w:sz w:val="24"/>
          <w:highlight w:val="none"/>
        </w:rPr>
        <w:t>2、采购人、采购代理机构、投标人</w:t>
      </w:r>
      <w:bookmarkEnd w:id="39"/>
      <w:bookmarkEnd w:id="40"/>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2.1 “采购人”是指：项目采购单位，合同的需方。</w:t>
      </w:r>
    </w:p>
    <w:p>
      <w:pPr>
        <w:shd w:val="clear"/>
        <w:spacing w:line="360" w:lineRule="auto"/>
        <w:ind w:firstLine="480"/>
        <w:rPr>
          <w:rFonts w:ascii="宋体" w:hAnsi="宋体" w:cs="宋体"/>
          <w:color w:val="auto"/>
          <w:sz w:val="24"/>
          <w:highlight w:val="none"/>
        </w:rPr>
      </w:pPr>
      <w:r>
        <w:rPr>
          <w:rFonts w:hint="eastAsia" w:ascii="宋体" w:hAnsi="宋体" w:cs="宋体"/>
          <w:color w:val="auto"/>
          <w:sz w:val="24"/>
          <w:highlight w:val="none"/>
        </w:rPr>
        <w:t>2.2 “采购代理机构”是指：</w:t>
      </w:r>
      <w:r>
        <w:rPr>
          <w:rFonts w:hint="eastAsia" w:ascii="宋体" w:hAnsi="宋体" w:cs="宋体"/>
          <w:color w:val="auto"/>
          <w:sz w:val="24"/>
          <w:highlight w:val="none"/>
          <w:lang w:eastAsia="zh-CN"/>
        </w:rPr>
        <w:t>中峪国际项目管理有限公司</w:t>
      </w:r>
      <w:r>
        <w:rPr>
          <w:rFonts w:hint="eastAsia" w:ascii="宋体" w:hAnsi="宋体" w:cs="宋体"/>
          <w:color w:val="auto"/>
          <w:sz w:val="24"/>
          <w:highlight w:val="none"/>
        </w:rPr>
        <w:t>。</w:t>
      </w:r>
    </w:p>
    <w:p>
      <w:pPr>
        <w:shd w:val="clear"/>
        <w:spacing w:line="360" w:lineRule="auto"/>
        <w:ind w:firstLine="480" w:firstLineChars="200"/>
        <w:outlineLvl w:val="0"/>
        <w:rPr>
          <w:rFonts w:ascii="宋体" w:hAnsi="宋体" w:cs="宋体"/>
          <w:color w:val="auto"/>
          <w:sz w:val="24"/>
          <w:highlight w:val="none"/>
        </w:rPr>
      </w:pPr>
      <w:bookmarkStart w:id="41" w:name="_Toc5761"/>
      <w:bookmarkStart w:id="42" w:name="_Toc28113"/>
      <w:r>
        <w:rPr>
          <w:rFonts w:hint="eastAsia" w:ascii="宋体" w:hAnsi="宋体" w:cs="宋体"/>
          <w:color w:val="auto"/>
          <w:sz w:val="24"/>
          <w:highlight w:val="none"/>
        </w:rPr>
        <w:t>2.3 “投标人”是指响应招标、参加投标竞争的法人、其他组织或者自然人。</w:t>
      </w:r>
      <w:bookmarkEnd w:id="41"/>
      <w:bookmarkEnd w:id="42"/>
    </w:p>
    <w:p>
      <w:pPr>
        <w:shd w:val="clear"/>
        <w:spacing w:line="360" w:lineRule="auto"/>
        <w:ind w:firstLine="482" w:firstLineChars="200"/>
        <w:outlineLvl w:val="0"/>
        <w:rPr>
          <w:rFonts w:ascii="宋体" w:hAnsi="宋体" w:cs="宋体"/>
          <w:b/>
          <w:color w:val="auto"/>
          <w:sz w:val="24"/>
          <w:highlight w:val="none"/>
        </w:rPr>
      </w:pPr>
      <w:bookmarkStart w:id="43" w:name="_Toc13812"/>
      <w:bookmarkStart w:id="44" w:name="_Toc24577"/>
      <w:r>
        <w:rPr>
          <w:rFonts w:hint="eastAsia" w:ascii="宋体" w:hAnsi="宋体" w:cs="宋体"/>
          <w:b/>
          <w:color w:val="auto"/>
          <w:sz w:val="24"/>
          <w:highlight w:val="none"/>
        </w:rPr>
        <w:t>3、合格投标人</w:t>
      </w:r>
      <w:bookmarkEnd w:id="43"/>
      <w:bookmarkEnd w:id="44"/>
    </w:p>
    <w:p>
      <w:pPr>
        <w:shd w:val="clear" w:color="auto"/>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3.1应符合</w:t>
      </w:r>
      <w:r>
        <w:rPr>
          <w:rFonts w:hint="eastAsia" w:ascii="宋体" w:hAnsi="宋体" w:cs="宋体"/>
          <w:color w:val="auto"/>
          <w:sz w:val="24"/>
          <w:highlight w:val="none"/>
          <w:lang w:eastAsia="zh-CN"/>
        </w:rPr>
        <w:t>招标公告</w:t>
      </w:r>
      <w:r>
        <w:rPr>
          <w:rFonts w:hint="eastAsia" w:ascii="宋体" w:hAnsi="宋体" w:cs="宋体"/>
          <w:color w:val="auto"/>
          <w:sz w:val="24"/>
          <w:highlight w:val="none"/>
        </w:rPr>
        <w:t>中投标人资格要求，</w:t>
      </w:r>
      <w:r>
        <w:rPr>
          <w:rFonts w:hint="eastAsia" w:ascii="宋体" w:hAnsi="宋体" w:cs="宋体"/>
          <w:color w:val="auto"/>
          <w:sz w:val="24"/>
          <w:highlight w:val="none"/>
          <w:lang w:val="en-US" w:eastAsia="zh-CN"/>
        </w:rPr>
        <w:t>并</w:t>
      </w:r>
      <w:r>
        <w:rPr>
          <w:rFonts w:hint="eastAsia" w:ascii="宋体" w:hAnsi="宋体" w:cs="宋体"/>
          <w:color w:val="auto"/>
          <w:sz w:val="24"/>
          <w:highlight w:val="none"/>
        </w:rPr>
        <w:t>将以下资料的</w:t>
      </w:r>
      <w:r>
        <w:rPr>
          <w:rFonts w:hint="eastAsia" w:ascii="宋体" w:hAnsi="宋体" w:cs="宋体"/>
          <w:b w:val="0"/>
          <w:bCs w:val="0"/>
          <w:color w:val="auto"/>
          <w:sz w:val="24"/>
          <w:highlight w:val="none"/>
          <w:lang w:eastAsia="zh-CN"/>
        </w:rPr>
        <w:t>加盖公章</w:t>
      </w:r>
      <w:r>
        <w:rPr>
          <w:rFonts w:hint="eastAsia" w:ascii="宋体" w:hAnsi="宋体" w:cs="宋体"/>
          <w:color w:val="auto"/>
          <w:sz w:val="24"/>
          <w:highlight w:val="none"/>
        </w:rPr>
        <w:t>复印件装订到投标文件中，证明其资格满足招标资格要求：</w:t>
      </w:r>
    </w:p>
    <w:p>
      <w:pPr>
        <w:shd w:val="clear" w:color="auto"/>
        <w:spacing w:line="360" w:lineRule="auto"/>
        <w:ind w:firstLine="480"/>
        <w:jc w:val="left"/>
        <w:outlineLvl w:val="9"/>
        <w:rPr>
          <w:rFonts w:ascii="宋体" w:hAnsi="宋体" w:cs="宋体"/>
          <w:color w:val="auto"/>
          <w:sz w:val="24"/>
          <w:highlight w:val="none"/>
        </w:rPr>
      </w:pPr>
      <w:r>
        <w:rPr>
          <w:rFonts w:hint="eastAsia" w:ascii="宋体" w:hAnsi="宋体" w:cs="宋体"/>
          <w:color w:val="auto"/>
          <w:sz w:val="24"/>
          <w:highlight w:val="none"/>
        </w:rPr>
        <w:t>1 ）营业执照副本；</w:t>
      </w:r>
    </w:p>
    <w:p>
      <w:pPr>
        <w:shd w:val="clear" w:color="auto"/>
        <w:spacing w:line="360" w:lineRule="auto"/>
        <w:ind w:firstLine="480"/>
        <w:jc w:val="left"/>
        <w:outlineLvl w:val="9"/>
        <w:rPr>
          <w:rFonts w:ascii="宋体" w:hAnsi="宋体" w:cs="宋体"/>
          <w:color w:val="auto"/>
          <w:sz w:val="24"/>
          <w:highlight w:val="none"/>
        </w:rPr>
      </w:pPr>
      <w:r>
        <w:rPr>
          <w:rFonts w:hint="eastAsia" w:ascii="宋体" w:hAnsi="宋体" w:cs="宋体"/>
          <w:color w:val="auto"/>
          <w:sz w:val="24"/>
          <w:highlight w:val="none"/>
        </w:rPr>
        <w:t>2 ）《单位负责人证明书》（附单位负责人身份证）或单位负责人授权委托书（附单位负责人和授权代表身份证）；</w:t>
      </w:r>
    </w:p>
    <w:p>
      <w:pPr>
        <w:shd w:val="clear" w:color="auto"/>
        <w:spacing w:line="360" w:lineRule="auto"/>
        <w:ind w:firstLine="480"/>
        <w:jc w:val="left"/>
        <w:outlineLvl w:val="9"/>
        <w:rPr>
          <w:rFonts w:ascii="宋体" w:hAnsi="宋体" w:cs="宋体"/>
          <w:color w:val="auto"/>
          <w:sz w:val="24"/>
          <w:highlight w:val="none"/>
        </w:rPr>
      </w:pPr>
      <w:r>
        <w:rPr>
          <w:rFonts w:hint="eastAsia" w:ascii="宋体" w:hAnsi="宋体" w:cs="宋体"/>
          <w:color w:val="auto"/>
          <w:sz w:val="24"/>
          <w:highlight w:val="none"/>
        </w:rPr>
        <w:t>3 ）具有履行合同所必需的设备和专业技术能力的证明材料（可以提供</w:t>
      </w:r>
      <w:r>
        <w:rPr>
          <w:rFonts w:hint="default" w:ascii="宋体" w:hAnsi="宋体" w:cs="宋体"/>
          <w:color w:val="auto"/>
          <w:sz w:val="24"/>
          <w:highlight w:val="none"/>
        </w:rPr>
        <w:t>类似</w:t>
      </w:r>
      <w:r>
        <w:rPr>
          <w:rFonts w:hint="eastAsia" w:ascii="宋体" w:hAnsi="宋体" w:cs="宋体"/>
          <w:color w:val="auto"/>
          <w:sz w:val="24"/>
          <w:highlight w:val="none"/>
        </w:rPr>
        <w:t>业绩合同或者可以提供承诺书</w:t>
      </w:r>
      <w:r>
        <w:rPr>
          <w:rFonts w:hint="eastAsia" w:ascii="宋体" w:hAnsi="宋体" w:cs="宋体"/>
          <w:color w:val="auto"/>
          <w:sz w:val="24"/>
          <w:highlight w:val="none"/>
          <w:lang w:val="en-US" w:eastAsia="zh-CN"/>
        </w:rPr>
        <w:t>&lt;</w:t>
      </w:r>
      <w:r>
        <w:rPr>
          <w:rFonts w:hint="eastAsia" w:ascii="宋体" w:hAnsi="宋体" w:cs="宋体"/>
          <w:color w:val="auto"/>
          <w:sz w:val="24"/>
          <w:highlight w:val="none"/>
        </w:rPr>
        <w:t>格式自拟</w:t>
      </w:r>
      <w:r>
        <w:rPr>
          <w:rFonts w:hint="eastAsia" w:ascii="宋体" w:hAnsi="宋体" w:cs="宋体"/>
          <w:color w:val="auto"/>
          <w:sz w:val="24"/>
          <w:highlight w:val="none"/>
          <w:lang w:val="en-US" w:eastAsia="zh-CN"/>
        </w:rPr>
        <w:t>&gt;</w:t>
      </w:r>
      <w:r>
        <w:rPr>
          <w:rFonts w:hint="eastAsia" w:ascii="宋体" w:hAnsi="宋体" w:cs="宋体"/>
          <w:color w:val="auto"/>
          <w:sz w:val="24"/>
          <w:highlight w:val="none"/>
        </w:rPr>
        <w:t>）；</w:t>
      </w:r>
    </w:p>
    <w:p>
      <w:pPr>
        <w:shd w:val="clear" w:color="auto"/>
        <w:spacing w:line="360" w:lineRule="auto"/>
        <w:ind w:firstLine="480"/>
        <w:jc w:val="left"/>
        <w:outlineLvl w:val="9"/>
        <w:rPr>
          <w:rFonts w:ascii="宋体" w:hAnsi="宋体" w:cs="宋体"/>
          <w:color w:val="auto"/>
          <w:sz w:val="24"/>
          <w:highlight w:val="none"/>
        </w:rPr>
      </w:pPr>
      <w:r>
        <w:rPr>
          <w:rFonts w:hint="eastAsia" w:ascii="宋体" w:hAnsi="宋体" w:cs="宋体"/>
          <w:color w:val="auto"/>
          <w:sz w:val="24"/>
          <w:highlight w:val="none"/>
        </w:rPr>
        <w:t>4 ）参加政府采购活动前3年内在经营活动中没有重大违法记录的书面声明</w:t>
      </w:r>
      <w:r>
        <w:rPr>
          <w:rFonts w:hint="eastAsia" w:ascii="宋体" w:hAnsi="宋体" w:cs="宋体"/>
          <w:color w:val="auto"/>
          <w:sz w:val="24"/>
          <w:highlight w:val="none"/>
          <w:lang w:val="en-US" w:eastAsia="zh-CN"/>
        </w:rPr>
        <w:t>书</w:t>
      </w:r>
      <w:r>
        <w:rPr>
          <w:rFonts w:hint="eastAsia" w:ascii="宋体" w:hAnsi="宋体" w:cs="宋体"/>
          <w:color w:val="auto"/>
          <w:sz w:val="24"/>
          <w:highlight w:val="none"/>
        </w:rPr>
        <w:t>（格式自拟）；</w:t>
      </w:r>
    </w:p>
    <w:p>
      <w:pPr>
        <w:shd w:val="clear" w:color="auto"/>
        <w:spacing w:line="360" w:lineRule="auto"/>
        <w:ind w:firstLine="480"/>
        <w:jc w:val="left"/>
        <w:rPr>
          <w:rFonts w:ascii="宋体" w:hAnsi="宋体" w:cs="宋体"/>
          <w:color w:val="auto"/>
          <w:sz w:val="24"/>
          <w:highlight w:val="none"/>
        </w:rPr>
      </w:pPr>
      <w:r>
        <w:rPr>
          <w:rFonts w:hint="eastAsia" w:ascii="宋体" w:hAnsi="宋体" w:cs="宋体"/>
          <w:color w:val="auto"/>
          <w:sz w:val="24"/>
          <w:highlight w:val="none"/>
        </w:rPr>
        <w:t>5 ）供应商提供近三年（20</w:t>
      </w:r>
      <w:r>
        <w:rPr>
          <w:rFonts w:hint="eastAsia" w:ascii="宋体" w:hAnsi="宋体" w:cs="宋体"/>
          <w:color w:val="auto"/>
          <w:sz w:val="24"/>
          <w:highlight w:val="none"/>
          <w:lang w:val="en-US" w:eastAsia="zh-CN"/>
        </w:rPr>
        <w:t>19</w:t>
      </w:r>
      <w:r>
        <w:rPr>
          <w:rFonts w:hint="eastAsia" w:ascii="宋体" w:hAnsi="宋体" w:cs="宋体"/>
          <w:color w:val="auto"/>
          <w:sz w:val="24"/>
          <w:highlight w:val="none"/>
        </w:rPr>
        <w:t>年-20</w:t>
      </w:r>
      <w:r>
        <w:rPr>
          <w:rFonts w:hint="eastAsia" w:ascii="宋体" w:hAnsi="宋体" w:cs="宋体"/>
          <w:color w:val="auto"/>
          <w:sz w:val="24"/>
          <w:highlight w:val="none"/>
          <w:lang w:val="en-US" w:eastAsia="zh-CN"/>
        </w:rPr>
        <w:t>21</w:t>
      </w:r>
      <w:r>
        <w:rPr>
          <w:rFonts w:hint="eastAsia" w:ascii="宋体" w:hAnsi="宋体" w:cs="宋体"/>
          <w:color w:val="auto"/>
          <w:sz w:val="24"/>
          <w:highlight w:val="none"/>
        </w:rPr>
        <w:t>年）经会计师事务所或审计机构出具的财务审计报告。（若投标人为20</w:t>
      </w:r>
      <w:r>
        <w:rPr>
          <w:rFonts w:hint="eastAsia" w:ascii="宋体" w:hAnsi="宋体" w:cs="宋体"/>
          <w:color w:val="auto"/>
          <w:sz w:val="24"/>
          <w:highlight w:val="none"/>
          <w:lang w:val="en-US" w:eastAsia="zh-CN"/>
        </w:rPr>
        <w:t>19</w:t>
      </w:r>
      <w:r>
        <w:rPr>
          <w:rFonts w:hint="eastAsia" w:ascii="宋体" w:hAnsi="宋体" w:cs="宋体"/>
          <w:color w:val="auto"/>
          <w:sz w:val="24"/>
          <w:highlight w:val="none"/>
        </w:rPr>
        <w:t>年以后注册成立的公司，即需提供从成立日期起的财务审计报告；若投标人为202</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年以后注册成立的公司，即需提供一份银行资信证明）、提供近一年（2022年</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月以后）任意两个月的依法缴纳税收和社会保障资金的相关材料(依法免税或不需要缴纳社会保障资金的供应商，应提供相应文件证明其依法免税或不需要缴纳社会保障资金）；</w:t>
      </w:r>
    </w:p>
    <w:p>
      <w:pPr>
        <w:shd w:val="clear" w:color="auto"/>
        <w:spacing w:line="360" w:lineRule="auto"/>
        <w:ind w:firstLine="480"/>
        <w:jc w:val="left"/>
        <w:rPr>
          <w:rFonts w:hint="default" w:eastAsia="宋体"/>
          <w:color w:val="auto"/>
          <w:highlight w:val="none"/>
          <w:lang w:val="en-US" w:eastAsia="zh-CN"/>
        </w:rPr>
      </w:pPr>
      <w:r>
        <w:rPr>
          <w:rFonts w:hint="eastAsia" w:ascii="宋体" w:hAnsi="宋体" w:cs="宋体"/>
          <w:color w:val="auto"/>
          <w:sz w:val="24"/>
          <w:highlight w:val="none"/>
        </w:rPr>
        <w:t>6 ）</w:t>
      </w:r>
      <w:r>
        <w:rPr>
          <w:rFonts w:hint="eastAsia" w:ascii="宋体" w:hAnsi="宋体" w:cs="宋体"/>
          <w:color w:val="auto"/>
          <w:sz w:val="24"/>
          <w:highlight w:val="none"/>
          <w:lang w:val="en-US" w:eastAsia="zh-CN"/>
        </w:rPr>
        <w:t>投标人应当通过“信用中国”网站（www.creditchina.gov.cn）、中国政府采购网（www.ccgp.gov.cn）等渠道查询相关主体信用记录，对列入失信被执行人、重大税收违法案件失信主体、政府采购严重违法失信行为记录名单及其他不符合《中华人民共和国政府采购法》第二十二条规定条件的供应商，应当拒绝其参与政府采购活动</w:t>
      </w:r>
      <w:r>
        <w:rPr>
          <w:rFonts w:hint="eastAsia" w:ascii="宋体" w:hAnsi="宋体" w:cs="宋体"/>
          <w:color w:val="auto"/>
          <w:sz w:val="24"/>
          <w:highlight w:val="none"/>
        </w:rPr>
        <w:t>。</w:t>
      </w:r>
    </w:p>
    <w:p>
      <w:pPr>
        <w:shd w:val="clear" w:color="auto"/>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注：</w:t>
      </w:r>
      <w:r>
        <w:rPr>
          <w:rFonts w:hint="eastAsia" w:ascii="宋体" w:hAnsi="宋体"/>
          <w:bCs/>
          <w:color w:val="auto"/>
          <w:sz w:val="24"/>
          <w:highlight w:val="none"/>
        </w:rPr>
        <w:t>采购标的属于银行、保险、石油石化、电力、电信等行业的，允许该行业法人的分支机构参加投标（报价），提供分支机构的相关证件。</w:t>
      </w:r>
    </w:p>
    <w:p>
      <w:pPr>
        <w:shd w:val="clear" w:color="auto"/>
        <w:spacing w:line="360" w:lineRule="auto"/>
        <w:ind w:firstLine="480" w:firstLineChars="0"/>
        <w:jc w:val="left"/>
        <w:rPr>
          <w:rFonts w:ascii="宋体" w:hAnsi="宋体" w:cs="宋体"/>
          <w:b/>
          <w:color w:val="auto"/>
          <w:sz w:val="24"/>
          <w:highlight w:val="none"/>
        </w:rPr>
      </w:pPr>
      <w:r>
        <w:rPr>
          <w:rFonts w:hint="eastAsia" w:ascii="宋体" w:hAnsi="宋体" w:cs="宋体"/>
          <w:b/>
          <w:color w:val="auto"/>
          <w:sz w:val="24"/>
          <w:highlight w:val="none"/>
        </w:rPr>
        <w:t>4、投标费用</w:t>
      </w:r>
    </w:p>
    <w:p>
      <w:pPr>
        <w:shd w:val="clea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投标人应承担所有与编写和提交投标文件有关的费用，无论投标的结果如何，采购人和采购代理机构在任何情况下均无义务和责任承担这些费用。</w:t>
      </w:r>
    </w:p>
    <w:p>
      <w:pPr>
        <w:shd w:val="clea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二、招标文件</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5、招标文件</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5.1 招标文件的构成</w:t>
      </w:r>
    </w:p>
    <w:p>
      <w:pPr>
        <w:pStyle w:val="2"/>
        <w:spacing w:line="360" w:lineRule="auto"/>
        <w:ind w:firstLine="480"/>
        <w:rPr>
          <w:rFonts w:hint="eastAsia" w:ascii="宋体" w:hAnsi="宋体" w:eastAsia="宋体" w:cs="宋体"/>
          <w:color w:val="auto"/>
          <w:sz w:val="24"/>
          <w:highlight w:val="none"/>
          <w:lang w:eastAsia="zh-CN"/>
        </w:rPr>
      </w:pPr>
      <w:r>
        <w:rPr>
          <w:rFonts w:hint="eastAsia" w:ascii="宋体" w:hAnsi="宋体" w:cs="宋体"/>
          <w:color w:val="auto"/>
          <w:sz w:val="24"/>
          <w:highlight w:val="none"/>
        </w:rPr>
        <w:t>第一章</w:t>
      </w:r>
      <w:r>
        <w:rPr>
          <w:rFonts w:hint="eastAsia" w:ascii="宋体" w:hAnsi="宋体" w:cs="宋体"/>
          <w:color w:val="auto"/>
          <w:sz w:val="24"/>
          <w:highlight w:val="none"/>
          <w:lang w:eastAsia="zh-CN"/>
        </w:rPr>
        <w:t>招标公告</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第二章投标人须知</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第三章评标办法</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第四章合同条款(参考格式)</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第五章技术需求</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第六章投标文件构成及格式</w:t>
      </w:r>
    </w:p>
    <w:p>
      <w:pPr>
        <w:spacing w:line="360" w:lineRule="auto"/>
        <w:ind w:firstLine="480" w:firstLineChars="200"/>
        <w:rPr>
          <w:rFonts w:ascii="宋体" w:hAnsi="宋体" w:cs="宋体"/>
          <w:b/>
          <w:bCs/>
          <w:color w:val="auto"/>
          <w:sz w:val="24"/>
          <w:highlight w:val="none"/>
        </w:rPr>
      </w:pPr>
      <w:r>
        <w:rPr>
          <w:rFonts w:hint="eastAsia" w:ascii="宋体" w:hAnsi="宋体" w:cs="宋体"/>
          <w:color w:val="auto"/>
          <w:sz w:val="24"/>
          <w:highlight w:val="none"/>
        </w:rPr>
        <w:t>5.2投标人应认真阅读招标文件中所有的事项、格式、条款和规范等要求。如果投标人没有按照招标文件要求提交全部资料或投标文件没有对招标文件在各方面都做出实质性响应，是投标人的风险。</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6、招标文件的澄清和修改</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6.1任何要求对招标文件进行澄清或对招标文件质疑的潜在投标人，均应在获取招标文件或者招标文件公告期限届满之日起7个工作日内以书面形式（须加盖公章）通知采购代理机构</w:t>
      </w:r>
      <w:r>
        <w:rPr>
          <w:rFonts w:hint="eastAsia" w:ascii="宋体" w:hAnsi="宋体" w:cs="宋体"/>
          <w:b/>
          <w:bCs/>
          <w:color w:val="auto"/>
          <w:sz w:val="24"/>
          <w:highlight w:val="none"/>
        </w:rPr>
        <w:t>（如投标人所参与项目须要在网上提交质疑程序，供应商须将纸质版质疑材料与网上提交质疑程序在同一工作日内进行，如出现日期不一致时，以两者中最后日期为准）</w:t>
      </w:r>
      <w:r>
        <w:rPr>
          <w:rFonts w:hint="eastAsia" w:ascii="宋体" w:hAnsi="宋体" w:cs="宋体"/>
          <w:color w:val="auto"/>
          <w:sz w:val="24"/>
          <w:highlight w:val="none"/>
        </w:rPr>
        <w:t>，超过这个规定期限提出的澄清要求或质疑将不予受理。采购代理机构对收到的澄清要求将视所提问题的具体情况以书面形式予以答复，同时传真给每个购买招标文件的潜在投标人或由潜在投标人直接到采购代理机构领取。潜在投标人应在1日内确认已收到该答复，未回复的潜在投标人视为已经收到该答复。答复中包括所提的问题，但不包括问题的来源。</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6.2采购人或者采购代理机构可以对已发出的招标文件、</w:t>
      </w:r>
      <w:r>
        <w:rPr>
          <w:rFonts w:hint="eastAsia" w:ascii="宋体" w:hAnsi="宋体" w:cs="宋体"/>
          <w:color w:val="auto"/>
          <w:sz w:val="24"/>
          <w:highlight w:val="none"/>
          <w:lang w:eastAsia="zh-CN"/>
        </w:rPr>
        <w:t>招标公告</w:t>
      </w:r>
      <w:r>
        <w:rPr>
          <w:rFonts w:hint="eastAsia" w:ascii="宋体" w:hAnsi="宋体" w:cs="宋体"/>
          <w:color w:val="auto"/>
          <w:sz w:val="24"/>
          <w:highlight w:val="none"/>
        </w:rPr>
        <w:t>进行必要的澄清或者修改，但不得改变采购标的和资格条件。澄清或者修改将在原公告发布媒体上发布澄清公告。澄清或者修改的内容为招标文件、</w:t>
      </w:r>
      <w:r>
        <w:rPr>
          <w:rFonts w:hint="eastAsia" w:ascii="宋体" w:hAnsi="宋体" w:cs="宋体"/>
          <w:color w:val="auto"/>
          <w:sz w:val="24"/>
          <w:highlight w:val="none"/>
          <w:lang w:eastAsia="zh-CN"/>
        </w:rPr>
        <w:t>招标公告</w:t>
      </w:r>
      <w:r>
        <w:rPr>
          <w:rFonts w:hint="eastAsia" w:ascii="宋体" w:hAnsi="宋体" w:cs="宋体"/>
          <w:color w:val="auto"/>
          <w:sz w:val="24"/>
          <w:highlight w:val="none"/>
        </w:rPr>
        <w:t>的组成部分。</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澄清或者修改的内容可能影响投标文件编制的，采购人或者采购代理机构将在投标截止时间15日前，以书面形式通知所有获取招标文件的潜在投标人；不足15日的，采购人或者采购代理机构将顺延提交投标文件的截止时间。在这种情况下，采购人、采购代理机构和投标人受投标截止时间制约的所有权利和义务均相应顺延至新的投标截止时间。</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6.3本项目不召开答疑会。</w:t>
      </w:r>
    </w:p>
    <w:p>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三、投标文件</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7、投标文件的编制</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7.1投标语言：投标人的投标文件以及投标人与招标方就有关投标的所有来往函电均应使用中文。(注：投标人所投产品及设备的相关资料非中文文本无效)</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7.2计量单位：中华人民共和国法定计量单位。</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7.3投标文件应编排有序，并编制文件目录，准确标明文件内容所在位置。请投标人按以下顺序编排投标文件并加盖公章：</w:t>
      </w:r>
    </w:p>
    <w:p>
      <w:pPr>
        <w:numPr>
          <w:ilvl w:val="0"/>
          <w:numId w:val="2"/>
        </w:numPr>
        <w:spacing w:line="360" w:lineRule="auto"/>
        <w:rPr>
          <w:rFonts w:ascii="宋体" w:hAnsi="宋体" w:cs="宋体"/>
          <w:color w:val="auto"/>
          <w:sz w:val="24"/>
          <w:highlight w:val="none"/>
        </w:rPr>
      </w:pPr>
      <w:r>
        <w:rPr>
          <w:rFonts w:hint="eastAsia" w:ascii="宋体" w:hAnsi="宋体" w:cs="宋体"/>
          <w:color w:val="auto"/>
          <w:sz w:val="24"/>
          <w:highlight w:val="none"/>
        </w:rPr>
        <w:t>投标文件目录及页码</w:t>
      </w:r>
    </w:p>
    <w:p>
      <w:pPr>
        <w:numPr>
          <w:ilvl w:val="0"/>
          <w:numId w:val="2"/>
        </w:numPr>
        <w:spacing w:line="360" w:lineRule="auto"/>
        <w:rPr>
          <w:rFonts w:ascii="宋体" w:hAnsi="宋体" w:cs="宋体"/>
          <w:bCs/>
          <w:color w:val="auto"/>
          <w:sz w:val="24"/>
          <w:highlight w:val="none"/>
        </w:rPr>
      </w:pPr>
      <w:r>
        <w:rPr>
          <w:rFonts w:hint="eastAsia" w:ascii="宋体" w:hAnsi="宋体" w:cs="宋体"/>
          <w:bCs/>
          <w:color w:val="auto"/>
          <w:sz w:val="24"/>
          <w:highlight w:val="none"/>
        </w:rPr>
        <w:t>投标函</w:t>
      </w:r>
    </w:p>
    <w:p>
      <w:pPr>
        <w:numPr>
          <w:ilvl w:val="0"/>
          <w:numId w:val="2"/>
        </w:numPr>
        <w:spacing w:line="360" w:lineRule="auto"/>
        <w:rPr>
          <w:rFonts w:ascii="宋体" w:hAnsi="宋体" w:cs="宋体"/>
          <w:bCs/>
          <w:color w:val="auto"/>
          <w:sz w:val="24"/>
          <w:highlight w:val="none"/>
        </w:rPr>
      </w:pPr>
      <w:r>
        <w:rPr>
          <w:rFonts w:hint="eastAsia" w:ascii="宋体" w:hAnsi="宋体" w:cs="宋体"/>
          <w:bCs/>
          <w:color w:val="auto"/>
          <w:sz w:val="24"/>
          <w:highlight w:val="none"/>
        </w:rPr>
        <w:t>开标一览表</w:t>
      </w:r>
    </w:p>
    <w:p>
      <w:pPr>
        <w:numPr>
          <w:ilvl w:val="0"/>
          <w:numId w:val="2"/>
        </w:numPr>
        <w:spacing w:line="360" w:lineRule="auto"/>
        <w:rPr>
          <w:rFonts w:ascii="宋体" w:hAnsi="宋体" w:cs="宋体"/>
          <w:bCs/>
          <w:color w:val="auto"/>
          <w:sz w:val="24"/>
          <w:highlight w:val="none"/>
        </w:rPr>
      </w:pPr>
      <w:r>
        <w:rPr>
          <w:rFonts w:hint="eastAsia" w:ascii="宋体" w:hAnsi="宋体" w:cs="宋体"/>
          <w:bCs/>
          <w:color w:val="auto"/>
          <w:sz w:val="24"/>
          <w:highlight w:val="none"/>
        </w:rPr>
        <w:t>投标报价一览表</w:t>
      </w:r>
    </w:p>
    <w:p>
      <w:pPr>
        <w:numPr>
          <w:ilvl w:val="0"/>
          <w:numId w:val="2"/>
        </w:numPr>
        <w:spacing w:line="360" w:lineRule="auto"/>
        <w:rPr>
          <w:rFonts w:ascii="宋体" w:hAnsi="宋体" w:cs="宋体"/>
          <w:bCs/>
          <w:color w:val="auto"/>
          <w:sz w:val="24"/>
          <w:highlight w:val="none"/>
        </w:rPr>
      </w:pPr>
      <w:r>
        <w:rPr>
          <w:rFonts w:hint="eastAsia" w:ascii="宋体" w:hAnsi="宋体" w:cs="宋体"/>
          <w:bCs/>
          <w:color w:val="auto"/>
          <w:sz w:val="24"/>
          <w:highlight w:val="none"/>
        </w:rPr>
        <w:t>商务条款偏离表</w:t>
      </w:r>
    </w:p>
    <w:p>
      <w:pPr>
        <w:numPr>
          <w:ilvl w:val="0"/>
          <w:numId w:val="2"/>
        </w:numPr>
        <w:spacing w:line="360" w:lineRule="auto"/>
        <w:rPr>
          <w:rFonts w:ascii="宋体" w:hAnsi="宋体" w:cs="宋体"/>
          <w:bCs/>
          <w:color w:val="auto"/>
          <w:sz w:val="24"/>
          <w:highlight w:val="none"/>
        </w:rPr>
      </w:pPr>
      <w:r>
        <w:rPr>
          <w:rFonts w:hint="eastAsia" w:ascii="宋体" w:hAnsi="宋体" w:cs="宋体"/>
          <w:bCs/>
          <w:color w:val="auto"/>
          <w:sz w:val="24"/>
          <w:highlight w:val="none"/>
        </w:rPr>
        <w:t>技术规格偏离表</w:t>
      </w:r>
    </w:p>
    <w:p>
      <w:pPr>
        <w:numPr>
          <w:ilvl w:val="0"/>
          <w:numId w:val="2"/>
        </w:numPr>
        <w:spacing w:line="360" w:lineRule="auto"/>
        <w:rPr>
          <w:rFonts w:ascii="宋体" w:hAnsi="宋体" w:cs="宋体"/>
          <w:bCs/>
          <w:color w:val="auto"/>
          <w:sz w:val="24"/>
          <w:highlight w:val="none"/>
        </w:rPr>
      </w:pPr>
      <w:r>
        <w:rPr>
          <w:rFonts w:hint="eastAsia" w:ascii="宋体" w:hAnsi="宋体" w:cs="宋体"/>
          <w:bCs/>
          <w:color w:val="auto"/>
          <w:sz w:val="24"/>
          <w:highlight w:val="none"/>
        </w:rPr>
        <w:t>单位负责人身份证明（身份证复印件）</w:t>
      </w:r>
    </w:p>
    <w:p>
      <w:pPr>
        <w:numPr>
          <w:ilvl w:val="0"/>
          <w:numId w:val="2"/>
        </w:numPr>
        <w:spacing w:line="360" w:lineRule="auto"/>
        <w:rPr>
          <w:rFonts w:ascii="宋体" w:hAnsi="宋体" w:cs="宋体"/>
          <w:bCs/>
          <w:color w:val="auto"/>
          <w:sz w:val="24"/>
          <w:highlight w:val="none"/>
        </w:rPr>
      </w:pPr>
      <w:r>
        <w:rPr>
          <w:rFonts w:hint="eastAsia" w:ascii="宋体" w:hAnsi="宋体" w:cs="宋体"/>
          <w:bCs/>
          <w:color w:val="auto"/>
          <w:sz w:val="24"/>
          <w:highlight w:val="none"/>
        </w:rPr>
        <w:t>单位负责人授权书（被授权人身份证复印件）</w:t>
      </w:r>
    </w:p>
    <w:p>
      <w:pPr>
        <w:numPr>
          <w:ilvl w:val="0"/>
          <w:numId w:val="2"/>
        </w:numPr>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企业营业执照（副本）</w:t>
      </w:r>
    </w:p>
    <w:p>
      <w:pPr>
        <w:numPr>
          <w:ilvl w:val="0"/>
          <w:numId w:val="0"/>
        </w:numPr>
        <w:spacing w:line="360" w:lineRule="auto"/>
        <w:ind w:left="540" w:leftChars="0"/>
        <w:rPr>
          <w:rFonts w:hint="eastAsia" w:ascii="宋体" w:hAnsi="宋体" w:cs="宋体"/>
          <w:bCs/>
          <w:color w:val="auto"/>
          <w:sz w:val="24"/>
          <w:highlight w:val="none"/>
        </w:rPr>
      </w:pPr>
      <w:r>
        <w:rPr>
          <w:rFonts w:hint="eastAsia" w:ascii="宋体" w:hAnsi="宋体" w:cs="宋体"/>
          <w:bCs/>
          <w:color w:val="auto"/>
          <w:sz w:val="24"/>
          <w:highlight w:val="none"/>
          <w:lang w:val="en-US" w:eastAsia="zh-CN"/>
        </w:rPr>
        <w:t>10、</w:t>
      </w:r>
      <w:r>
        <w:rPr>
          <w:rFonts w:hint="eastAsia" w:ascii="宋体" w:hAnsi="宋体" w:cs="宋体"/>
          <w:bCs/>
          <w:color w:val="auto"/>
          <w:sz w:val="24"/>
          <w:highlight w:val="none"/>
        </w:rPr>
        <w:t>售后服务承诺书</w:t>
      </w:r>
    </w:p>
    <w:p>
      <w:pPr>
        <w:numPr>
          <w:ilvl w:val="0"/>
          <w:numId w:val="0"/>
        </w:numPr>
        <w:spacing w:line="360" w:lineRule="auto"/>
        <w:ind w:left="540" w:leftChars="0"/>
        <w:rPr>
          <w:rFonts w:hint="eastAsia" w:ascii="宋体" w:hAnsi="宋体" w:cs="宋体"/>
          <w:bCs/>
          <w:color w:val="auto"/>
          <w:sz w:val="24"/>
          <w:highlight w:val="none"/>
        </w:rPr>
      </w:pPr>
      <w:r>
        <w:rPr>
          <w:rFonts w:hint="eastAsia" w:ascii="宋体" w:hAnsi="宋体" w:cs="宋体"/>
          <w:bCs/>
          <w:color w:val="auto"/>
          <w:sz w:val="24"/>
          <w:highlight w:val="none"/>
          <w:lang w:val="en-US" w:eastAsia="zh-CN"/>
        </w:rPr>
        <w:t>11、</w:t>
      </w:r>
      <w:r>
        <w:rPr>
          <w:rFonts w:hint="eastAsia" w:ascii="宋体" w:hAnsi="宋体" w:cs="宋体"/>
          <w:bCs/>
          <w:color w:val="auto"/>
          <w:sz w:val="24"/>
          <w:highlight w:val="none"/>
        </w:rPr>
        <w:t>招标文件要求提供的其他资质证明文件</w:t>
      </w:r>
    </w:p>
    <w:p>
      <w:pPr>
        <w:numPr>
          <w:ilvl w:val="0"/>
          <w:numId w:val="0"/>
        </w:numPr>
        <w:spacing w:line="360" w:lineRule="auto"/>
        <w:ind w:left="540" w:leftChars="0"/>
        <w:rPr>
          <w:rFonts w:hint="eastAsia" w:ascii="宋体" w:hAnsi="宋体" w:cs="宋体"/>
          <w:bCs/>
          <w:color w:val="auto"/>
          <w:sz w:val="24"/>
          <w:highlight w:val="none"/>
        </w:rPr>
      </w:pPr>
      <w:r>
        <w:rPr>
          <w:rFonts w:hint="eastAsia" w:ascii="宋体" w:hAnsi="宋体" w:cs="宋体"/>
          <w:bCs/>
          <w:color w:val="auto"/>
          <w:sz w:val="24"/>
          <w:highlight w:val="none"/>
          <w:lang w:val="en-US" w:eastAsia="zh-CN"/>
        </w:rPr>
        <w:t>12、</w:t>
      </w:r>
      <w:r>
        <w:rPr>
          <w:rFonts w:hint="eastAsia" w:ascii="宋体" w:hAnsi="宋体" w:cs="宋体"/>
          <w:bCs/>
          <w:color w:val="auto"/>
          <w:sz w:val="24"/>
          <w:highlight w:val="none"/>
        </w:rPr>
        <w:t>招标文件要求提供的其他文件资料</w:t>
      </w:r>
    </w:p>
    <w:p>
      <w:pPr>
        <w:numPr>
          <w:ilvl w:val="0"/>
          <w:numId w:val="0"/>
        </w:numPr>
        <w:spacing w:line="360" w:lineRule="auto"/>
        <w:ind w:left="540" w:leftChars="0"/>
        <w:rPr>
          <w:rFonts w:hint="eastAsia" w:ascii="宋体" w:hAnsi="宋体" w:cs="宋体"/>
          <w:bCs/>
          <w:color w:val="auto"/>
          <w:sz w:val="24"/>
          <w:highlight w:val="none"/>
        </w:rPr>
      </w:pPr>
      <w:r>
        <w:rPr>
          <w:rFonts w:hint="eastAsia" w:ascii="宋体" w:hAnsi="宋体" w:cs="宋体"/>
          <w:bCs/>
          <w:color w:val="auto"/>
          <w:sz w:val="24"/>
          <w:highlight w:val="none"/>
          <w:lang w:val="en-US" w:eastAsia="zh-CN"/>
        </w:rPr>
        <w:t>13、</w:t>
      </w:r>
      <w:r>
        <w:rPr>
          <w:rFonts w:hint="eastAsia" w:ascii="宋体" w:hAnsi="宋体" w:cs="宋体"/>
          <w:bCs/>
          <w:color w:val="auto"/>
          <w:sz w:val="24"/>
          <w:highlight w:val="none"/>
        </w:rPr>
        <w:t>投标人认为对其投标有利的其他文件资料</w:t>
      </w:r>
    </w:p>
    <w:p>
      <w:pPr>
        <w:spacing w:line="360" w:lineRule="auto"/>
        <w:ind w:firstLine="482" w:firstLineChars="200"/>
        <w:outlineLvl w:val="0"/>
        <w:rPr>
          <w:rFonts w:ascii="宋体" w:hAnsi="宋体" w:cs="宋体"/>
          <w:b/>
          <w:color w:val="auto"/>
          <w:sz w:val="24"/>
          <w:highlight w:val="none"/>
        </w:rPr>
      </w:pPr>
      <w:bookmarkStart w:id="45" w:name="_Toc7828"/>
      <w:bookmarkStart w:id="46" w:name="_Toc1907"/>
      <w:r>
        <w:rPr>
          <w:rFonts w:hint="eastAsia" w:ascii="宋体" w:hAnsi="宋体" w:cs="宋体"/>
          <w:b/>
          <w:color w:val="auto"/>
          <w:sz w:val="24"/>
          <w:highlight w:val="none"/>
        </w:rPr>
        <w:t>8、投标文件构成</w:t>
      </w:r>
      <w:bookmarkEnd w:id="45"/>
      <w:bookmarkEnd w:id="46"/>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8.1投标人编写的投标文件应包括下列部分：</w:t>
      </w:r>
    </w:p>
    <w:p>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8.1.1按第六章“投标文件格式”编制一份“开标一览表”，并完整地填写“投标函”、“投标报价一览表”和“商务条款偏离表和技术规格偏离表”。</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8.1.2证明投标人符合资格要求的文件：应具备第二章“投标人须知”第</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条“合格投标人”要求的投标资格，提供相关的资格证明文件以及第六章“投标文件格式”要求提供的其他资质文件。</w:t>
      </w:r>
    </w:p>
    <w:p>
      <w:pPr>
        <w:pStyle w:val="12"/>
        <w:spacing w:line="360" w:lineRule="auto"/>
        <w:ind w:firstLine="480" w:firstLineChars="200"/>
        <w:rPr>
          <w:rFonts w:ascii="宋体" w:hAnsi="宋体" w:cs="宋体"/>
          <w:color w:val="auto"/>
          <w:szCs w:val="24"/>
          <w:highlight w:val="none"/>
        </w:rPr>
      </w:pPr>
      <w:r>
        <w:rPr>
          <w:rFonts w:hint="eastAsia" w:ascii="宋体" w:hAnsi="宋体" w:cs="宋体"/>
          <w:color w:val="auto"/>
          <w:szCs w:val="24"/>
          <w:highlight w:val="none"/>
        </w:rPr>
        <w:t>8.1.3证明货物合格性和符合招标文件规定的文件材料：</w:t>
      </w:r>
    </w:p>
    <w:p>
      <w:pPr>
        <w:pStyle w:val="12"/>
        <w:spacing w:line="360" w:lineRule="auto"/>
        <w:ind w:firstLine="360" w:firstLineChars="150"/>
        <w:rPr>
          <w:rFonts w:ascii="宋体" w:hAnsi="宋体" w:cs="宋体"/>
          <w:color w:val="auto"/>
          <w:szCs w:val="24"/>
          <w:highlight w:val="none"/>
        </w:rPr>
      </w:pPr>
      <w:r>
        <w:rPr>
          <w:rFonts w:hint="eastAsia" w:ascii="宋体" w:hAnsi="宋体" w:cs="宋体"/>
          <w:color w:val="auto"/>
          <w:szCs w:val="24"/>
          <w:highlight w:val="none"/>
        </w:rPr>
        <w:t>（1）“投标报价一览表”中对货物和服务来源地的说明；</w:t>
      </w:r>
    </w:p>
    <w:p>
      <w:pPr>
        <w:spacing w:line="360" w:lineRule="auto"/>
        <w:ind w:firstLine="240" w:firstLineChars="100"/>
        <w:rPr>
          <w:rFonts w:ascii="宋体" w:hAnsi="宋体" w:cs="宋体"/>
          <w:color w:val="auto"/>
          <w:sz w:val="24"/>
          <w:highlight w:val="none"/>
        </w:rPr>
      </w:pPr>
      <w:r>
        <w:rPr>
          <w:rFonts w:hint="eastAsia" w:ascii="宋体" w:hAnsi="宋体" w:cs="宋体"/>
          <w:color w:val="auto"/>
          <w:sz w:val="24"/>
          <w:highlight w:val="none"/>
        </w:rPr>
        <w:t>（2）货物主要技术指标和性能的详细说明，包括文字资料、样本、彩色图片和数据等；</w:t>
      </w:r>
    </w:p>
    <w:p>
      <w:pPr>
        <w:spacing w:line="360" w:lineRule="auto"/>
        <w:ind w:firstLine="240" w:firstLineChars="100"/>
        <w:rPr>
          <w:rFonts w:ascii="宋体" w:hAnsi="宋体" w:cs="宋体"/>
          <w:color w:val="auto"/>
          <w:sz w:val="24"/>
          <w:highlight w:val="none"/>
        </w:rPr>
      </w:pPr>
      <w:r>
        <w:rPr>
          <w:rFonts w:hint="eastAsia" w:ascii="宋体" w:hAnsi="宋体" w:cs="宋体"/>
          <w:color w:val="auto"/>
          <w:sz w:val="24"/>
          <w:highlight w:val="none"/>
        </w:rPr>
        <w:t>（3）逐条对招标文件要求的技术需求进行应答，指出所提供的货物和服务是否对招标文件的要求做出了实质性响应，或说明与货物需求和技术规格要求的正负偏差和例外，详细填写“技术规格偏离表、商务条款偏离表”。</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8.1.4“投标人须知”第</w:t>
      </w:r>
      <w:r>
        <w:rPr>
          <w:rFonts w:hint="eastAsia" w:ascii="宋体" w:hAnsi="宋体" w:cs="宋体"/>
          <w:color w:val="auto"/>
          <w:sz w:val="24"/>
          <w:highlight w:val="none"/>
          <w:lang w:val="en-US" w:eastAsia="zh-CN"/>
        </w:rPr>
        <w:t>19、20</w:t>
      </w:r>
      <w:r>
        <w:rPr>
          <w:rFonts w:hint="eastAsia" w:ascii="宋体" w:hAnsi="宋体" w:cs="宋体"/>
          <w:color w:val="auto"/>
          <w:sz w:val="24"/>
          <w:highlight w:val="none"/>
        </w:rPr>
        <w:t>条要求提交的投标保证金。</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9、投标报价</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9.1报价原则：所有投标均以人民币元为计算单位。</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9.2投标人所报的价格在合同执行过程中是固定不变的，不得以任何理由予以变更。以可调整的价格提交的投标将作为非响应性投标而予以拒绝。</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9.3投标人报价应为优惠条件折算后的最终价格。评标过程中不再接受优惠条件的价格折算。</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10、投标保证金</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10.1投标保证金：投标人应在投标截止时间前将投标保证金采用银行转账、支票、汇票、本票或者金融机构、担保机构出具的保函等非现金形式交纳，投标保证金应当从供应商的基本账户转出。（投标保证金应从投标人的基本账户中转出，保证金的交纳时间以到账时间为准）。(请在汇款后将底单扫描件发送至 805785499@qq.com邮箱)</w:t>
      </w:r>
    </w:p>
    <w:p>
      <w:pPr>
        <w:pStyle w:val="9"/>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收款人全称：</w:t>
      </w:r>
      <w:r>
        <w:rPr>
          <w:rFonts w:hint="eastAsia" w:ascii="宋体" w:hAnsi="宋体" w:eastAsia="宋体" w:cs="宋体"/>
          <w:b/>
          <w:bCs/>
          <w:color w:val="auto"/>
          <w:sz w:val="24"/>
          <w:szCs w:val="24"/>
          <w:highlight w:val="none"/>
          <w:lang w:eastAsia="zh-CN"/>
        </w:rPr>
        <w:t>中峪国际项目管理有限公司</w:t>
      </w:r>
    </w:p>
    <w:p>
      <w:pPr>
        <w:pStyle w:val="9"/>
        <w:spacing w:line="360" w:lineRule="auto"/>
        <w:ind w:left="479" w:leftChars="228" w:firstLine="0" w:firstLineChars="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 xml:space="preserve">开户行：兴业银行长春二道支行 </w:t>
      </w:r>
    </w:p>
    <w:p>
      <w:pPr>
        <w:pStyle w:val="9"/>
        <w:spacing w:line="360" w:lineRule="auto"/>
        <w:ind w:left="479" w:leftChars="228" w:firstLine="0" w:firstLineChars="0"/>
        <w:rPr>
          <w:highlight w:val="none"/>
        </w:rPr>
      </w:pPr>
      <w:r>
        <w:rPr>
          <w:rFonts w:hint="eastAsia" w:ascii="宋体" w:hAnsi="宋体" w:eastAsia="宋体" w:cs="宋体"/>
          <w:b/>
          <w:bCs/>
          <w:color w:val="auto"/>
          <w:sz w:val="24"/>
          <w:szCs w:val="24"/>
          <w:highlight w:val="none"/>
        </w:rPr>
        <w:t>账  号：581050100100186135；到账为准。</w:t>
      </w:r>
    </w:p>
    <w:p>
      <w:pPr>
        <w:spacing w:line="360" w:lineRule="auto"/>
        <w:ind w:left="839" w:leftChars="228" w:hanging="360" w:hangingChars="150"/>
        <w:rPr>
          <w:rFonts w:ascii="宋体" w:hAnsi="宋体" w:cs="宋体"/>
          <w:color w:val="auto"/>
          <w:sz w:val="24"/>
          <w:highlight w:val="none"/>
        </w:rPr>
      </w:pPr>
      <w:r>
        <w:rPr>
          <w:rFonts w:hint="eastAsia" w:ascii="宋体" w:hAnsi="宋体" w:cs="宋体"/>
          <w:color w:val="auto"/>
          <w:sz w:val="24"/>
          <w:highlight w:val="none"/>
        </w:rPr>
        <w:t>10.2投标保证金是为了弥补招标方因投标人的违规行为而蒙受的损失。采购人在因</w:t>
      </w:r>
    </w:p>
    <w:p>
      <w:pPr>
        <w:spacing w:line="360" w:lineRule="auto"/>
        <w:rPr>
          <w:rFonts w:ascii="宋体" w:hAnsi="宋体" w:cs="宋体"/>
          <w:color w:val="auto"/>
          <w:sz w:val="24"/>
          <w:highlight w:val="none"/>
        </w:rPr>
      </w:pPr>
      <w:r>
        <w:rPr>
          <w:rFonts w:hint="eastAsia" w:ascii="宋体" w:hAnsi="宋体" w:cs="宋体"/>
          <w:color w:val="auto"/>
          <w:sz w:val="24"/>
          <w:highlight w:val="none"/>
        </w:rPr>
        <w:t>投标人的违规行为而受到损害时将没收投标人的投标保证金作为所受损害的补偿。</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10.3投标保证金是投标文件的一个组成部分，没有按要求提交投标保证金的投标，将被视为非实质性响应投标予以拒绝。</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10.4落标人的投标保证金在中标通知书发出后五个工作日内退还，不计利息。</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10.5中标人的投标保证金，在中标人按规定签署合同，并交纳了履约保证金（如果有要求）后5个工作日予以退还，不计利息。</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10.6投标保证金将一律以电汇形式退还。</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10.7中标供应商有下列情况之一的，采购人和采购代理机构不予退还其交纳的投标保证金：</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（1）投标人在招标文件规定的投标有效期内撤回其投标；</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（2）中标人未按规定提交履约保证金的；</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（3）中标人未按规定时间、地点与采购人签订合同的；</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（4）投标人存在严重违法行为：如提供虚假材料谋取中标，恶意串通，以及行贿或者提供其他不正当利益等；</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（5）招标文件规定不予退还投标保证金的其他情形。</w:t>
      </w:r>
    </w:p>
    <w:p>
      <w:pPr>
        <w:spacing w:line="360" w:lineRule="auto"/>
        <w:ind w:firstLine="482" w:firstLineChars="200"/>
        <w:jc w:val="left"/>
        <w:rPr>
          <w:rFonts w:ascii="宋体" w:hAnsi="宋体" w:cs="宋体"/>
          <w:b/>
          <w:color w:val="auto"/>
          <w:sz w:val="24"/>
          <w:highlight w:val="none"/>
        </w:rPr>
      </w:pPr>
      <w:r>
        <w:rPr>
          <w:rFonts w:hint="eastAsia" w:ascii="宋体" w:hAnsi="宋体" w:cs="宋体"/>
          <w:b/>
          <w:color w:val="auto"/>
          <w:sz w:val="24"/>
          <w:highlight w:val="none"/>
        </w:rPr>
        <w:t>11、投标有效期</w:t>
      </w:r>
    </w:p>
    <w:p>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11.1投标有效期为自开标之时起90天，投标文件在这个规定期限内应保持有效。</w:t>
      </w:r>
    </w:p>
    <w:p>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11.2在特殊情况下，招标方可与投标人协商延长投标有效期。这种要求和答复都应以书面形式进行。投标人可以拒绝接受延期要求而不会被没收投标保证金。同意延长投标有效期的投标人除按照招标方要求修改投标文件的有效期外，不能修改投标文件的其他内容。</w:t>
      </w:r>
    </w:p>
    <w:p>
      <w:pPr>
        <w:spacing w:line="360" w:lineRule="auto"/>
        <w:ind w:firstLine="482" w:firstLineChars="200"/>
        <w:jc w:val="left"/>
        <w:rPr>
          <w:rFonts w:ascii="宋体" w:hAnsi="宋体" w:cs="宋体"/>
          <w:b/>
          <w:color w:val="auto"/>
          <w:sz w:val="24"/>
          <w:highlight w:val="none"/>
        </w:rPr>
      </w:pPr>
      <w:r>
        <w:rPr>
          <w:rFonts w:hint="eastAsia" w:ascii="宋体" w:hAnsi="宋体" w:cs="宋体"/>
          <w:b/>
          <w:color w:val="auto"/>
          <w:sz w:val="24"/>
          <w:highlight w:val="none"/>
        </w:rPr>
        <w:t>12、投标文件的式样和签署</w:t>
      </w:r>
    </w:p>
    <w:p>
      <w:pPr>
        <w:spacing w:line="360" w:lineRule="auto"/>
        <w:ind w:firstLine="480" w:firstLineChars="200"/>
        <w:jc w:val="left"/>
        <w:rPr>
          <w:rFonts w:ascii="宋体" w:hAnsi="宋体" w:cs="宋体"/>
          <w:bCs/>
          <w:color w:val="auto"/>
          <w:sz w:val="24"/>
          <w:highlight w:val="none"/>
        </w:rPr>
      </w:pPr>
      <w:r>
        <w:rPr>
          <w:rFonts w:hint="eastAsia" w:ascii="宋体" w:hAnsi="宋体" w:cs="宋体"/>
          <w:color w:val="auto"/>
          <w:sz w:val="24"/>
          <w:highlight w:val="none"/>
        </w:rPr>
        <w:t>12.1投标文件须打印或用不褪色墨水书写，投标人</w:t>
      </w:r>
      <w:r>
        <w:rPr>
          <w:rFonts w:hint="eastAsia" w:ascii="宋体" w:hAnsi="宋体" w:cs="宋体"/>
          <w:color w:val="auto"/>
          <w:sz w:val="24"/>
          <w:highlight w:val="none"/>
          <w:lang w:val="en-US" w:eastAsia="zh-CN"/>
        </w:rPr>
        <w:t>应</w:t>
      </w:r>
      <w:r>
        <w:rPr>
          <w:rFonts w:hint="eastAsia" w:ascii="宋体" w:hAnsi="宋体" w:cs="宋体"/>
          <w:color w:val="auto"/>
          <w:sz w:val="24"/>
          <w:highlight w:val="none"/>
        </w:rPr>
        <w:t>加盖公章。投标文件由单位负责人签署的，须提交以书面形式出具的“单位负责人资格证明”；</w:t>
      </w:r>
      <w:r>
        <w:rPr>
          <w:rFonts w:hint="eastAsia" w:ascii="宋体" w:hAnsi="宋体" w:eastAsia="宋体" w:cs="宋体"/>
          <w:color w:val="auto"/>
          <w:sz w:val="24"/>
          <w:highlight w:val="none"/>
        </w:rPr>
        <w:t>由被授权人签署的，须提交以书面形式出具的“单位负责人资格证明”和“单位负责人授权书”。投标文件的每一页均应加盖公章。未经有效</w:t>
      </w:r>
      <w:r>
        <w:rPr>
          <w:rFonts w:hint="eastAsia" w:ascii="宋体" w:hAnsi="宋体" w:eastAsia="宋体" w:cs="宋体"/>
          <w:color w:val="auto"/>
          <w:sz w:val="24"/>
          <w:highlight w:val="none"/>
          <w:lang w:val="en-US" w:eastAsia="zh-CN"/>
        </w:rPr>
        <w:t>盖章</w:t>
      </w:r>
      <w:r>
        <w:rPr>
          <w:rFonts w:hint="eastAsia" w:ascii="宋体" w:hAnsi="宋体" w:eastAsia="宋体" w:cs="宋体"/>
          <w:color w:val="auto"/>
          <w:sz w:val="24"/>
          <w:highlight w:val="none"/>
        </w:rPr>
        <w:t>的投标文件将被作为非响应性投标而被拒绝。</w:t>
      </w:r>
    </w:p>
    <w:p>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12.2投标文件中如有修改错漏处，应在修改处加盖</w:t>
      </w:r>
      <w:r>
        <w:rPr>
          <w:rFonts w:hint="eastAsia" w:ascii="宋体" w:hAnsi="宋体" w:cs="宋体"/>
          <w:bCs/>
          <w:color w:val="auto"/>
          <w:sz w:val="24"/>
          <w:highlight w:val="none"/>
        </w:rPr>
        <w:t>投标人</w:t>
      </w:r>
      <w:r>
        <w:rPr>
          <w:rFonts w:hint="eastAsia" w:ascii="宋体" w:hAnsi="宋体" w:cs="宋体"/>
          <w:color w:val="auto"/>
          <w:sz w:val="24"/>
          <w:highlight w:val="none"/>
        </w:rPr>
        <w:t>公章。</w:t>
      </w:r>
    </w:p>
    <w:p>
      <w:pPr>
        <w:spacing w:line="360" w:lineRule="auto"/>
        <w:ind w:firstLine="472" w:firstLineChars="196"/>
        <w:outlineLvl w:val="0"/>
        <w:rPr>
          <w:rFonts w:ascii="宋体" w:hAnsi="宋体" w:cs="宋体"/>
          <w:b/>
          <w:color w:val="auto"/>
          <w:sz w:val="24"/>
          <w:highlight w:val="none"/>
        </w:rPr>
      </w:pPr>
      <w:bookmarkStart w:id="47" w:name="_Toc9079"/>
      <w:bookmarkStart w:id="48" w:name="_Toc3406"/>
      <w:r>
        <w:rPr>
          <w:rFonts w:hint="eastAsia" w:ascii="宋体" w:hAnsi="宋体" w:cs="宋体"/>
          <w:b/>
          <w:color w:val="auto"/>
          <w:sz w:val="24"/>
          <w:highlight w:val="none"/>
        </w:rPr>
        <w:t>13、投标文件的修改和撤回</w:t>
      </w:r>
      <w:bookmarkEnd w:id="47"/>
      <w:bookmarkEnd w:id="48"/>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13.1投标人在递交投标文件后，可以修改或撤回其投标文件，但招标方必须在规定的投标截止期之前收到投标人的修改或撤回的书面通知。</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13.2投标人的修改或撤回通知书应按对投标文件的规定一样进行编制、密封、标记和递交，并标明“修改”或“撤回”字样。</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13.3在投标截止时间（开标时间）之后，投标人不得对其投标文件做任何修改。</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13.4从开标之时起，至投标有效期期满之间的这段时间内，投标人不得撤回其投标，否则根据投标人须知第10.7条的规定，其投标保证金将被没收。与其他供应商恶意串通而撤回投标的，按照《中华人民共和国政府采购法》第七十七条的规定处理。</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14、投标</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14.1投标人应当在招标文件要求提交投标文件的截止时间前，将投标文件密封送达投标地点。采购代理机构收到投标文件后，将如实记载投标文件的送达时间和密封情况，签收保存，并向投标人出具签收回执。任何单位和个人不得在开标前开启投标文件。逾期送达或者未按照招标文件要求密封的投标文件，采购人、采购代理机构应当拒收。</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14.2投标人应将投标文件装订成册、密封并在信封上标明“项目名称、项目编号、投标单位名称、投标联系人名称、联系人电话、开标时间截止前不得开封”，在</w:t>
      </w:r>
      <w:r>
        <w:rPr>
          <w:rFonts w:hint="eastAsia" w:ascii="宋体" w:hAnsi="宋体" w:cs="宋体"/>
          <w:color w:val="auto"/>
          <w:sz w:val="24"/>
          <w:highlight w:val="none"/>
          <w:lang w:eastAsia="zh-CN"/>
        </w:rPr>
        <w:t>招标公告</w:t>
      </w:r>
      <w:r>
        <w:rPr>
          <w:rFonts w:hint="eastAsia" w:ascii="宋体" w:hAnsi="宋体" w:cs="宋体"/>
          <w:color w:val="auto"/>
          <w:sz w:val="24"/>
          <w:highlight w:val="none"/>
        </w:rPr>
        <w:t>规定的投标地点和投标截止时间前递交给采购代理机构。如果投标人没有按照要求标记，采购代理机构对于投标人的误投、错投概不负责。</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14.3投标人应提交投标文件正本1份、副本</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份，电子版</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份，并标明“正本”、“副本”字样(投标文件的正本和副本单独密封，同时分别在封皮上标注“项目名称、项目编号、投标单位名称、投标联系人名称、联系人电话、开标时间截止前不得开封”字样）</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14.4投标人应按照第六章“投标文件格式”的要求单独编制一份“开标一览表”，用于开标时唱标使用。“开标一览表”应按对投标文件的密封和标记要求单独进行密封、标记，并按14.1款的规定与投标文件同时递交。</w:t>
      </w:r>
    </w:p>
    <w:p>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t>四、开标与评标</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15、开标</w:t>
      </w:r>
    </w:p>
    <w:p>
      <w:pPr>
        <w:spacing w:line="360" w:lineRule="auto"/>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15.1采购代理机构将在</w:t>
      </w:r>
      <w:r>
        <w:rPr>
          <w:rFonts w:hint="eastAsia" w:ascii="宋体" w:hAnsi="宋体" w:cs="宋体"/>
          <w:color w:val="auto"/>
          <w:sz w:val="24"/>
          <w:highlight w:val="none"/>
          <w:lang w:eastAsia="zh-CN"/>
        </w:rPr>
        <w:t>招标公告</w:t>
      </w:r>
      <w:r>
        <w:rPr>
          <w:rFonts w:hint="eastAsia" w:ascii="宋体" w:hAnsi="宋体" w:cs="宋体"/>
          <w:color w:val="auto"/>
          <w:sz w:val="24"/>
          <w:highlight w:val="none"/>
        </w:rPr>
        <w:t>规定的时间和地点组织公开开标，邀请投标人参加。</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15.2 开标会由采购人或采购代理机构组织并主持。开标时，将由投标人或者其推选的代表检查投标文件的密封情况；经确认无误后，由采购人或者采购代理机构工作人员当众拆封，宣布投标人名称、投标价格和招标文件规定的需要宣布的其他内容。</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15.3 投标人不足3家的，不开标。</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15.4 开标时未宣读的投标价格、价格折扣和招标文件允许提供的备选投标方案等实质性内容，评标时不予承认。</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15.5按照规定，提交了可接受的“撤回”通知的投标将不予开封。撤回的投标书将原封退回投标人。</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15.6开标过程由采购代理机构负责记录，由参加开标的各投标人代表和相关工作人员签字确认后随采购文件一并存档。投标人代表对开标过程和开标记录有疑义，以及认为采购人、采购代理机构相关工作人员有需要回避的情形的，应当场提出询问或者回避申请。采购人、采购代理机构对投标人代表提出的询问或者回避申请将及时处理。投标人未参加开标的，视同认可开标结果。</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15.7 开标时，投标文件中开标一览表(报价表)内容与投标文件中明细表内容不一致的，以开标一览表(报价表)为准。</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15.8 开标时有下列情形之一的，采购人有权宣布本项目废标：</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（1）交货时间/合同履行期限符合招标文件要求的投标人不足三家的；</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（2）所有投标人的报价均超过采购项目预算，采购人不能支付的。</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15.9 开标结束后，采购人将依法对投标人的资格进行审查，并详细填写下表。合格投标人不足3家的，不进行评标。</w:t>
      </w:r>
    </w:p>
    <w:p>
      <w:pPr>
        <w:spacing w:line="360" w:lineRule="auto"/>
        <w:jc w:val="center"/>
        <w:rPr>
          <w:rFonts w:hint="eastAsia" w:ascii="宋体" w:hAnsi="宋体" w:cs="宋体"/>
          <w:color w:val="auto"/>
          <w:sz w:val="24"/>
          <w:highlight w:val="none"/>
        </w:rPr>
      </w:pPr>
    </w:p>
    <w:p>
      <w:pPr>
        <w:spacing w:line="360" w:lineRule="auto"/>
        <w:jc w:val="center"/>
        <w:rPr>
          <w:rFonts w:ascii="宋体" w:hAnsi="宋体" w:cs="宋体"/>
          <w:color w:val="auto"/>
          <w:sz w:val="24"/>
          <w:highlight w:val="none"/>
        </w:rPr>
      </w:pPr>
      <w:r>
        <w:rPr>
          <w:rFonts w:hint="eastAsia" w:ascii="宋体" w:hAnsi="宋体" w:cs="宋体"/>
          <w:color w:val="auto"/>
          <w:sz w:val="24"/>
          <w:highlight w:val="none"/>
        </w:rPr>
        <w:t>资格性审查表</w:t>
      </w:r>
    </w:p>
    <w:tbl>
      <w:tblPr>
        <w:tblStyle w:val="22"/>
        <w:tblW w:w="0" w:type="auto"/>
        <w:jc w:val="center"/>
        <w:tblLayout w:type="fixed"/>
        <w:tblCellMar>
          <w:top w:w="0" w:type="dxa"/>
          <w:left w:w="108" w:type="dxa"/>
          <w:bottom w:w="0" w:type="dxa"/>
          <w:right w:w="108" w:type="dxa"/>
        </w:tblCellMar>
      </w:tblPr>
      <w:tblGrid>
        <w:gridCol w:w="562"/>
        <w:gridCol w:w="7578"/>
        <w:gridCol w:w="1283"/>
      </w:tblGrid>
      <w:tr>
        <w:trPr>
          <w:trHeight w:val="434" w:hRule="atLeast"/>
          <w:jc w:val="center"/>
        </w:trPr>
        <w:tc>
          <w:tcPr>
            <w:tcW w:w="8140" w:type="dxa"/>
            <w:gridSpan w:val="2"/>
            <w:vMerge w:val="restart"/>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400" w:lineRule="exact"/>
              <w:ind w:right="-34"/>
              <w:jc w:val="center"/>
              <w:textAlignment w:val="bottom"/>
              <w:rPr>
                <w:rFonts w:ascii="宋体" w:hAnsi="宋体" w:cs="宋体"/>
                <w:color w:val="auto"/>
                <w:sz w:val="24"/>
                <w:highlight w:val="none"/>
              </w:rPr>
            </w:pPr>
            <w:r>
              <w:rPr>
                <w:rFonts w:hint="eastAsia" w:ascii="宋体" w:hAnsi="宋体" w:cs="宋体"/>
                <w:color w:val="auto"/>
                <w:sz w:val="24"/>
                <w:highlight w:val="none"/>
              </w:rPr>
              <w:t>审查内容</w:t>
            </w:r>
          </w:p>
        </w:tc>
        <w:tc>
          <w:tcPr>
            <w:tcW w:w="1283" w:type="dxa"/>
            <w:tcBorders>
              <w:top w:val="single" w:color="auto" w:sz="6" w:space="0"/>
              <w:left w:val="single" w:color="auto" w:sz="6" w:space="0"/>
              <w:bottom w:val="single" w:color="auto" w:sz="6" w:space="0"/>
              <w:right w:val="single" w:color="auto" w:sz="4" w:space="0"/>
            </w:tcBorders>
            <w:vAlign w:val="center"/>
          </w:tcPr>
          <w:p>
            <w:pPr>
              <w:widowControl/>
              <w:autoSpaceDE w:val="0"/>
              <w:autoSpaceDN w:val="0"/>
              <w:spacing w:line="400" w:lineRule="exact"/>
              <w:ind w:left="600" w:right="-34" w:hanging="600" w:hangingChars="250"/>
              <w:jc w:val="center"/>
              <w:textAlignment w:val="bottom"/>
              <w:rPr>
                <w:rFonts w:ascii="宋体" w:hAnsi="宋体" w:cs="宋体"/>
                <w:color w:val="auto"/>
                <w:sz w:val="24"/>
                <w:highlight w:val="none"/>
              </w:rPr>
            </w:pPr>
            <w:r>
              <w:rPr>
                <w:rFonts w:hint="eastAsia" w:ascii="宋体" w:hAnsi="宋体" w:cs="宋体"/>
                <w:color w:val="auto"/>
                <w:sz w:val="24"/>
                <w:highlight w:val="none"/>
              </w:rPr>
              <w:t>投标人</w:t>
            </w:r>
          </w:p>
        </w:tc>
      </w:tr>
      <w:tr>
        <w:tblPrEx>
          <w:tblCellMar>
            <w:top w:w="0" w:type="dxa"/>
            <w:left w:w="108" w:type="dxa"/>
            <w:bottom w:w="0" w:type="dxa"/>
            <w:right w:w="108" w:type="dxa"/>
          </w:tblCellMar>
        </w:tblPrEx>
        <w:trPr>
          <w:trHeight w:val="434" w:hRule="atLeast"/>
          <w:jc w:val="center"/>
        </w:trPr>
        <w:tc>
          <w:tcPr>
            <w:tcW w:w="8140" w:type="dxa"/>
            <w:gridSpan w:val="2"/>
            <w:vMerge w:val="continue"/>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400" w:lineRule="exact"/>
              <w:ind w:left="600" w:right="-34" w:hanging="600" w:hangingChars="250"/>
              <w:jc w:val="center"/>
              <w:textAlignment w:val="bottom"/>
              <w:rPr>
                <w:rFonts w:ascii="宋体" w:hAnsi="宋体" w:cs="宋体"/>
                <w:color w:val="auto"/>
                <w:sz w:val="24"/>
                <w:highlight w:val="none"/>
              </w:rPr>
            </w:pPr>
          </w:p>
        </w:tc>
        <w:tc>
          <w:tcPr>
            <w:tcW w:w="1283" w:type="dxa"/>
            <w:tcBorders>
              <w:top w:val="single" w:color="auto" w:sz="6" w:space="0"/>
              <w:left w:val="single" w:color="auto" w:sz="6" w:space="0"/>
              <w:bottom w:val="single" w:color="auto" w:sz="6" w:space="0"/>
              <w:right w:val="single" w:color="auto" w:sz="4" w:space="0"/>
            </w:tcBorders>
          </w:tcPr>
          <w:p>
            <w:pPr>
              <w:widowControl/>
              <w:autoSpaceDE w:val="0"/>
              <w:autoSpaceDN w:val="0"/>
              <w:spacing w:line="400" w:lineRule="exact"/>
              <w:ind w:right="-34"/>
              <w:jc w:val="center"/>
              <w:textAlignment w:val="bottom"/>
              <w:rPr>
                <w:rFonts w:ascii="宋体" w:hAnsi="宋体" w:cs="宋体"/>
                <w:color w:val="auto"/>
                <w:sz w:val="24"/>
                <w:highlight w:val="none"/>
              </w:rPr>
            </w:pPr>
          </w:p>
        </w:tc>
      </w:tr>
      <w:tr>
        <w:tblPrEx>
          <w:tblCellMar>
            <w:top w:w="0" w:type="dxa"/>
            <w:left w:w="108" w:type="dxa"/>
            <w:bottom w:w="0" w:type="dxa"/>
            <w:right w:w="108" w:type="dxa"/>
          </w:tblCellMar>
        </w:tblPrEx>
        <w:trPr>
          <w:trHeight w:val="666" w:hRule="atLeast"/>
          <w:jc w:val="center"/>
        </w:trPr>
        <w:tc>
          <w:tcPr>
            <w:tcW w:w="562" w:type="dxa"/>
            <w:vMerge w:val="restart"/>
            <w:tcBorders>
              <w:top w:val="single" w:color="auto" w:sz="6" w:space="0"/>
              <w:left w:val="single" w:color="auto" w:sz="6"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资格性审查</w:t>
            </w:r>
          </w:p>
        </w:tc>
        <w:tc>
          <w:tcPr>
            <w:tcW w:w="7578"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leftChars="0" w:right="0" w:rightChars="0" w:firstLine="0" w:firstLineChars="0"/>
              <w:jc w:val="left"/>
              <w:textAlignment w:val="bottom"/>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1.具有独立承担民事责任的能力（</w:t>
            </w:r>
            <w:r>
              <w:rPr>
                <w:rFonts w:hint="default" w:ascii="宋体" w:hAnsi="宋体" w:eastAsia="宋体" w:cs="宋体"/>
                <w:color w:val="auto"/>
                <w:sz w:val="24"/>
                <w:highlight w:val="none"/>
                <w:lang w:val="en-US" w:eastAsia="zh-CN"/>
              </w:rPr>
              <w:t>法人或者其他组织的营业执照等证明文件，自然人的身份证明</w:t>
            </w:r>
            <w:r>
              <w:rPr>
                <w:rFonts w:hint="eastAsia" w:ascii="宋体" w:hAnsi="宋体" w:eastAsia="宋体" w:cs="宋体"/>
                <w:color w:val="auto"/>
                <w:sz w:val="24"/>
                <w:highlight w:val="none"/>
              </w:rPr>
              <w:t>）；</w:t>
            </w:r>
          </w:p>
        </w:tc>
        <w:tc>
          <w:tcPr>
            <w:tcW w:w="1283" w:type="dxa"/>
            <w:tcBorders>
              <w:top w:val="single" w:color="auto" w:sz="6" w:space="0"/>
              <w:left w:val="single" w:color="auto" w:sz="6" w:space="0"/>
              <w:bottom w:val="single" w:color="auto" w:sz="6" w:space="0"/>
              <w:right w:val="single" w:color="auto" w:sz="4" w:space="0"/>
            </w:tcBorders>
            <w:vAlign w:val="center"/>
          </w:tcPr>
          <w:p>
            <w:pPr>
              <w:widowControl/>
              <w:autoSpaceDE w:val="0"/>
              <w:autoSpaceDN w:val="0"/>
              <w:ind w:left="600" w:right="-34" w:hanging="600" w:hangingChars="250"/>
              <w:jc w:val="center"/>
              <w:textAlignment w:val="bottom"/>
              <w:rPr>
                <w:rFonts w:ascii="宋体" w:hAnsi="宋体" w:cs="宋体"/>
                <w:color w:val="auto"/>
                <w:sz w:val="24"/>
                <w:highlight w:val="none"/>
              </w:rPr>
            </w:pPr>
          </w:p>
        </w:tc>
      </w:tr>
      <w:tr>
        <w:tblPrEx>
          <w:tblCellMar>
            <w:top w:w="0" w:type="dxa"/>
            <w:left w:w="108" w:type="dxa"/>
            <w:bottom w:w="0" w:type="dxa"/>
            <w:right w:w="108" w:type="dxa"/>
          </w:tblCellMar>
        </w:tblPrEx>
        <w:trPr>
          <w:trHeight w:val="341" w:hRule="atLeast"/>
          <w:jc w:val="center"/>
        </w:trPr>
        <w:tc>
          <w:tcPr>
            <w:tcW w:w="562" w:type="dxa"/>
            <w:vMerge w:val="continue"/>
            <w:tcBorders>
              <w:left w:val="single" w:color="auto" w:sz="6" w:space="0"/>
              <w:right w:val="single" w:color="auto" w:sz="4" w:space="0"/>
            </w:tcBorders>
            <w:vAlign w:val="center"/>
          </w:tcPr>
          <w:p>
            <w:pPr>
              <w:jc w:val="center"/>
              <w:rPr>
                <w:rFonts w:ascii="宋体" w:hAnsi="宋体" w:cs="宋体"/>
                <w:color w:val="auto"/>
                <w:sz w:val="24"/>
                <w:highlight w:val="none"/>
              </w:rPr>
            </w:pPr>
          </w:p>
        </w:tc>
        <w:tc>
          <w:tcPr>
            <w:tcW w:w="7578"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leftChars="0" w:right="0" w:rightChars="0" w:firstLine="0" w:firstLineChars="0"/>
              <w:jc w:val="left"/>
              <w:textAlignment w:val="bottom"/>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2.具有良好的商业信誉和健全的财务会计制度{提供近三年（20</w:t>
            </w:r>
            <w:r>
              <w:rPr>
                <w:rFonts w:hint="eastAsia" w:ascii="宋体" w:hAnsi="宋体" w:cs="宋体"/>
                <w:color w:val="auto"/>
                <w:sz w:val="24"/>
                <w:highlight w:val="none"/>
                <w:lang w:val="en-US" w:eastAsia="zh-CN"/>
              </w:rPr>
              <w:t>19</w:t>
            </w:r>
            <w:r>
              <w:rPr>
                <w:rFonts w:hint="eastAsia" w:ascii="宋体" w:hAnsi="宋体" w:eastAsia="宋体" w:cs="宋体"/>
                <w:color w:val="auto"/>
                <w:sz w:val="24"/>
                <w:highlight w:val="none"/>
              </w:rPr>
              <w:t>年-202</w:t>
            </w:r>
            <w:r>
              <w:rPr>
                <w:rFonts w:hint="eastAsia" w:ascii="宋体" w:hAnsi="宋体" w:cs="宋体"/>
                <w:color w:val="auto"/>
                <w:sz w:val="24"/>
                <w:highlight w:val="none"/>
                <w:lang w:val="en-US" w:eastAsia="zh-CN"/>
              </w:rPr>
              <w:t>1</w:t>
            </w:r>
            <w:r>
              <w:rPr>
                <w:rFonts w:hint="eastAsia" w:ascii="宋体" w:hAnsi="宋体" w:eastAsia="宋体" w:cs="宋体"/>
                <w:color w:val="auto"/>
                <w:sz w:val="24"/>
                <w:highlight w:val="none"/>
              </w:rPr>
              <w:t>年）经会计师事务所或审计机构出具的财务审计报告。（若投标人为20</w:t>
            </w:r>
            <w:r>
              <w:rPr>
                <w:rFonts w:hint="eastAsia" w:ascii="宋体" w:hAnsi="宋体" w:cs="宋体"/>
                <w:color w:val="auto"/>
                <w:sz w:val="24"/>
                <w:highlight w:val="none"/>
                <w:lang w:val="en-US" w:eastAsia="zh-CN"/>
              </w:rPr>
              <w:t>19</w:t>
            </w:r>
            <w:r>
              <w:rPr>
                <w:rFonts w:hint="eastAsia" w:ascii="宋体" w:hAnsi="宋体" w:eastAsia="宋体" w:cs="宋体"/>
                <w:color w:val="auto"/>
                <w:sz w:val="24"/>
                <w:highlight w:val="none"/>
              </w:rPr>
              <w:t>年以后注册成立的公司，即需提供从成立日期起的财务审计报告；若投标人为202</w:t>
            </w:r>
            <w:r>
              <w:rPr>
                <w:rFonts w:hint="eastAsia" w:ascii="宋体" w:hAnsi="宋体" w:cs="宋体"/>
                <w:color w:val="auto"/>
                <w:sz w:val="24"/>
                <w:highlight w:val="none"/>
                <w:lang w:val="en-US" w:eastAsia="zh-CN"/>
              </w:rPr>
              <w:t>2</w:t>
            </w:r>
            <w:r>
              <w:rPr>
                <w:rFonts w:hint="eastAsia" w:ascii="宋体" w:hAnsi="宋体" w:eastAsia="宋体" w:cs="宋体"/>
                <w:color w:val="auto"/>
                <w:sz w:val="24"/>
                <w:highlight w:val="none"/>
              </w:rPr>
              <w:t>年以后注册成立的公司，即需提供一份银行资信证明）}；</w:t>
            </w:r>
          </w:p>
        </w:tc>
        <w:tc>
          <w:tcPr>
            <w:tcW w:w="1283" w:type="dxa"/>
            <w:tcBorders>
              <w:top w:val="single" w:color="auto" w:sz="6" w:space="0"/>
              <w:left w:val="single" w:color="auto" w:sz="6" w:space="0"/>
              <w:bottom w:val="single" w:color="auto" w:sz="6" w:space="0"/>
              <w:right w:val="single" w:color="auto" w:sz="4" w:space="0"/>
            </w:tcBorders>
            <w:vAlign w:val="center"/>
          </w:tcPr>
          <w:p>
            <w:pPr>
              <w:widowControl/>
              <w:autoSpaceDE w:val="0"/>
              <w:autoSpaceDN w:val="0"/>
              <w:ind w:left="600" w:right="-34" w:hanging="600" w:hangingChars="250"/>
              <w:jc w:val="center"/>
              <w:textAlignment w:val="bottom"/>
              <w:rPr>
                <w:rFonts w:ascii="宋体" w:hAnsi="宋体" w:cs="宋体"/>
                <w:color w:val="auto"/>
                <w:sz w:val="24"/>
                <w:highlight w:val="none"/>
              </w:rPr>
            </w:pPr>
          </w:p>
        </w:tc>
      </w:tr>
      <w:tr>
        <w:tblPrEx>
          <w:tblCellMar>
            <w:top w:w="0" w:type="dxa"/>
            <w:left w:w="108" w:type="dxa"/>
            <w:bottom w:w="0" w:type="dxa"/>
            <w:right w:w="108" w:type="dxa"/>
          </w:tblCellMar>
        </w:tblPrEx>
        <w:trPr>
          <w:trHeight w:val="341" w:hRule="atLeast"/>
          <w:jc w:val="center"/>
        </w:trPr>
        <w:tc>
          <w:tcPr>
            <w:tcW w:w="562" w:type="dxa"/>
            <w:vMerge w:val="continue"/>
            <w:tcBorders>
              <w:left w:val="single" w:color="auto" w:sz="6" w:space="0"/>
              <w:right w:val="single" w:color="auto" w:sz="4" w:space="0"/>
            </w:tcBorders>
            <w:vAlign w:val="center"/>
          </w:tcPr>
          <w:p>
            <w:pPr>
              <w:jc w:val="center"/>
              <w:rPr>
                <w:rFonts w:ascii="宋体" w:hAnsi="宋体" w:cs="宋体"/>
                <w:color w:val="auto"/>
                <w:sz w:val="24"/>
                <w:highlight w:val="none"/>
              </w:rPr>
            </w:pPr>
          </w:p>
        </w:tc>
        <w:tc>
          <w:tcPr>
            <w:tcW w:w="7578"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leftChars="0" w:right="0" w:rightChars="0" w:firstLine="0" w:firstLineChars="0"/>
              <w:jc w:val="left"/>
              <w:textAlignment w:val="bottom"/>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3.具有履行合同所必需的设备和专业技术能力的证明材料（可以提供类似业绩合同或者可以提供承诺书</w:t>
            </w:r>
            <w:r>
              <w:rPr>
                <w:rFonts w:hint="eastAsia" w:ascii="宋体" w:hAnsi="宋体" w:eastAsia="宋体" w:cs="宋体"/>
                <w:color w:val="auto"/>
                <w:sz w:val="24"/>
                <w:highlight w:val="none"/>
                <w:lang w:val="en-US" w:eastAsia="zh-CN"/>
              </w:rPr>
              <w:t>&lt;</w:t>
            </w:r>
            <w:r>
              <w:rPr>
                <w:rFonts w:hint="eastAsia" w:ascii="宋体" w:hAnsi="宋体" w:eastAsia="宋体" w:cs="宋体"/>
                <w:color w:val="auto"/>
                <w:sz w:val="24"/>
                <w:highlight w:val="none"/>
              </w:rPr>
              <w:t>格式自拟</w:t>
            </w:r>
            <w:r>
              <w:rPr>
                <w:rFonts w:hint="eastAsia" w:ascii="宋体" w:hAnsi="宋体" w:eastAsia="宋体" w:cs="宋体"/>
                <w:color w:val="auto"/>
                <w:sz w:val="24"/>
                <w:highlight w:val="none"/>
                <w:lang w:val="en-US" w:eastAsia="zh-CN"/>
              </w:rPr>
              <w:t>&gt;</w:t>
            </w:r>
            <w:r>
              <w:rPr>
                <w:rFonts w:hint="eastAsia" w:ascii="宋体" w:hAnsi="宋体" w:eastAsia="宋体" w:cs="宋体"/>
                <w:color w:val="auto"/>
                <w:sz w:val="24"/>
                <w:highlight w:val="none"/>
              </w:rPr>
              <w:t>）；</w:t>
            </w:r>
          </w:p>
        </w:tc>
        <w:tc>
          <w:tcPr>
            <w:tcW w:w="1283" w:type="dxa"/>
            <w:tcBorders>
              <w:top w:val="single" w:color="auto" w:sz="6" w:space="0"/>
              <w:left w:val="single" w:color="auto" w:sz="6" w:space="0"/>
              <w:bottom w:val="single" w:color="auto" w:sz="6" w:space="0"/>
              <w:right w:val="single" w:color="auto" w:sz="4" w:space="0"/>
            </w:tcBorders>
            <w:vAlign w:val="center"/>
          </w:tcPr>
          <w:p>
            <w:pPr>
              <w:widowControl/>
              <w:autoSpaceDE w:val="0"/>
              <w:autoSpaceDN w:val="0"/>
              <w:ind w:left="600" w:right="-34" w:hanging="600" w:hangingChars="250"/>
              <w:jc w:val="center"/>
              <w:textAlignment w:val="bottom"/>
              <w:rPr>
                <w:rFonts w:ascii="宋体" w:hAnsi="宋体" w:cs="宋体"/>
                <w:color w:val="auto"/>
                <w:sz w:val="24"/>
                <w:highlight w:val="none"/>
              </w:rPr>
            </w:pPr>
          </w:p>
        </w:tc>
      </w:tr>
      <w:tr>
        <w:tblPrEx>
          <w:tblCellMar>
            <w:top w:w="0" w:type="dxa"/>
            <w:left w:w="108" w:type="dxa"/>
            <w:bottom w:w="0" w:type="dxa"/>
            <w:right w:w="108" w:type="dxa"/>
          </w:tblCellMar>
        </w:tblPrEx>
        <w:trPr>
          <w:trHeight w:val="341" w:hRule="atLeast"/>
          <w:jc w:val="center"/>
        </w:trPr>
        <w:tc>
          <w:tcPr>
            <w:tcW w:w="562" w:type="dxa"/>
            <w:vMerge w:val="continue"/>
            <w:tcBorders>
              <w:left w:val="single" w:color="auto" w:sz="6" w:space="0"/>
              <w:right w:val="single" w:color="auto" w:sz="4" w:space="0"/>
            </w:tcBorders>
            <w:vAlign w:val="center"/>
          </w:tcPr>
          <w:p>
            <w:pPr>
              <w:jc w:val="center"/>
              <w:rPr>
                <w:rFonts w:ascii="宋体" w:hAnsi="宋体" w:cs="宋体"/>
                <w:color w:val="auto"/>
                <w:sz w:val="24"/>
                <w:highlight w:val="none"/>
              </w:rPr>
            </w:pPr>
          </w:p>
        </w:tc>
        <w:tc>
          <w:tcPr>
            <w:tcW w:w="7578"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leftChars="0" w:right="0" w:rightChars="0" w:firstLine="0" w:firstLineChars="0"/>
              <w:jc w:val="left"/>
              <w:textAlignment w:val="bottom"/>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4.有依法缴纳税收和社会保障资金的良好记录</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lang w:eastAsia="zh-CN"/>
              </w:rPr>
              <w:t>提供近一年（202</w:t>
            </w:r>
            <w:r>
              <w:rPr>
                <w:rFonts w:hint="eastAsia" w:ascii="宋体" w:hAnsi="宋体" w:cs="宋体"/>
                <w:color w:val="auto"/>
                <w:sz w:val="24"/>
                <w:highlight w:val="none"/>
                <w:lang w:val="en-US" w:eastAsia="zh-CN"/>
              </w:rPr>
              <w:t>2</w:t>
            </w:r>
            <w:r>
              <w:rPr>
                <w:rFonts w:hint="eastAsia" w:ascii="宋体" w:hAnsi="宋体" w:eastAsia="宋体" w:cs="宋体"/>
                <w:color w:val="auto"/>
                <w:sz w:val="24"/>
                <w:highlight w:val="none"/>
                <w:lang w:eastAsia="zh-CN"/>
              </w:rPr>
              <w:t>年</w:t>
            </w:r>
            <w:r>
              <w:rPr>
                <w:rFonts w:hint="eastAsia" w:ascii="宋体" w:hAnsi="宋体" w:cs="宋体"/>
                <w:color w:val="auto"/>
                <w:sz w:val="24"/>
                <w:highlight w:val="none"/>
                <w:lang w:val="en-US" w:eastAsia="zh-CN"/>
              </w:rPr>
              <w:t>6</w:t>
            </w:r>
            <w:r>
              <w:rPr>
                <w:rFonts w:hint="eastAsia" w:ascii="宋体" w:hAnsi="宋体" w:eastAsia="宋体" w:cs="宋体"/>
                <w:color w:val="auto"/>
                <w:sz w:val="24"/>
                <w:highlight w:val="none"/>
                <w:lang w:eastAsia="zh-CN"/>
              </w:rPr>
              <w:t>月以后）任意两个月的依法缴纳税收</w:t>
            </w:r>
            <w:r>
              <w:rPr>
                <w:rFonts w:hint="eastAsia" w:ascii="宋体" w:hAnsi="宋体" w:eastAsia="宋体" w:cs="宋体"/>
                <w:color w:val="auto"/>
                <w:sz w:val="24"/>
                <w:highlight w:val="none"/>
                <w:lang w:val="en-US" w:eastAsia="zh-CN"/>
              </w:rPr>
              <w:t>记录</w:t>
            </w:r>
            <w:r>
              <w:rPr>
                <w:rFonts w:hint="eastAsia" w:ascii="宋体" w:hAnsi="宋体" w:eastAsia="宋体" w:cs="宋体"/>
                <w:color w:val="auto"/>
                <w:sz w:val="24"/>
                <w:highlight w:val="none"/>
                <w:lang w:eastAsia="zh-CN"/>
              </w:rPr>
              <w:t>和社会保障资金的相关材料（</w:t>
            </w:r>
            <w:r>
              <w:rPr>
                <w:rFonts w:hint="eastAsia" w:ascii="宋体" w:hAnsi="宋体" w:eastAsia="宋体" w:cs="宋体"/>
                <w:color w:val="auto"/>
                <w:sz w:val="24"/>
                <w:highlight w:val="none"/>
              </w:rPr>
              <w:t>依法免税或不需要缴纳社会保障资金的供应商，应提供相应文件证明其依法免税或不需要缴纳社会保障资金）</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w:t>
            </w:r>
          </w:p>
        </w:tc>
        <w:tc>
          <w:tcPr>
            <w:tcW w:w="1283" w:type="dxa"/>
            <w:tcBorders>
              <w:top w:val="single" w:color="auto" w:sz="6" w:space="0"/>
              <w:left w:val="single" w:color="auto" w:sz="6" w:space="0"/>
              <w:bottom w:val="single" w:color="auto" w:sz="6" w:space="0"/>
              <w:right w:val="single" w:color="auto" w:sz="4" w:space="0"/>
            </w:tcBorders>
            <w:vAlign w:val="center"/>
          </w:tcPr>
          <w:p>
            <w:pPr>
              <w:widowControl/>
              <w:autoSpaceDE w:val="0"/>
              <w:autoSpaceDN w:val="0"/>
              <w:ind w:left="600" w:right="-34" w:hanging="600" w:hangingChars="250"/>
              <w:jc w:val="center"/>
              <w:textAlignment w:val="bottom"/>
              <w:rPr>
                <w:rFonts w:ascii="宋体" w:hAnsi="宋体" w:cs="宋体"/>
                <w:color w:val="auto"/>
                <w:sz w:val="24"/>
                <w:highlight w:val="none"/>
              </w:rPr>
            </w:pPr>
          </w:p>
        </w:tc>
      </w:tr>
      <w:tr>
        <w:tblPrEx>
          <w:tblCellMar>
            <w:top w:w="0" w:type="dxa"/>
            <w:left w:w="108" w:type="dxa"/>
            <w:bottom w:w="0" w:type="dxa"/>
            <w:right w:w="108" w:type="dxa"/>
          </w:tblCellMar>
        </w:tblPrEx>
        <w:trPr>
          <w:trHeight w:val="341" w:hRule="atLeast"/>
          <w:jc w:val="center"/>
        </w:trPr>
        <w:tc>
          <w:tcPr>
            <w:tcW w:w="562" w:type="dxa"/>
            <w:vMerge w:val="continue"/>
            <w:tcBorders>
              <w:left w:val="single" w:color="auto" w:sz="6" w:space="0"/>
              <w:right w:val="single" w:color="auto" w:sz="4" w:space="0"/>
            </w:tcBorders>
            <w:vAlign w:val="center"/>
          </w:tcPr>
          <w:p>
            <w:pPr>
              <w:jc w:val="center"/>
              <w:rPr>
                <w:rFonts w:ascii="宋体" w:hAnsi="宋体" w:cs="宋体"/>
                <w:color w:val="auto"/>
                <w:sz w:val="24"/>
                <w:highlight w:val="none"/>
              </w:rPr>
            </w:pPr>
          </w:p>
        </w:tc>
        <w:tc>
          <w:tcPr>
            <w:tcW w:w="7578"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leftChars="0" w:right="0" w:rightChars="0" w:firstLine="0" w:firstLineChars="0"/>
              <w:jc w:val="left"/>
              <w:textAlignment w:val="bottom"/>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5.参加政府采购活动前三年内，在经营活动中没有重大违法记录；</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承诺书或截图</w:t>
            </w:r>
            <w:r>
              <w:rPr>
                <w:rFonts w:hint="eastAsia" w:ascii="宋体" w:hAnsi="宋体" w:eastAsia="宋体" w:cs="宋体"/>
                <w:color w:val="auto"/>
                <w:sz w:val="24"/>
                <w:highlight w:val="none"/>
                <w:lang w:eastAsia="zh-CN"/>
              </w:rPr>
              <w:t>）</w:t>
            </w:r>
          </w:p>
        </w:tc>
        <w:tc>
          <w:tcPr>
            <w:tcW w:w="1283" w:type="dxa"/>
            <w:tcBorders>
              <w:top w:val="single" w:color="auto" w:sz="6" w:space="0"/>
              <w:left w:val="single" w:color="auto" w:sz="6" w:space="0"/>
              <w:bottom w:val="single" w:color="auto" w:sz="6" w:space="0"/>
              <w:right w:val="single" w:color="auto" w:sz="4" w:space="0"/>
            </w:tcBorders>
            <w:vAlign w:val="center"/>
          </w:tcPr>
          <w:p>
            <w:pPr>
              <w:widowControl/>
              <w:autoSpaceDE w:val="0"/>
              <w:autoSpaceDN w:val="0"/>
              <w:ind w:left="600" w:right="-34" w:hanging="600" w:hangingChars="250"/>
              <w:jc w:val="center"/>
              <w:textAlignment w:val="bottom"/>
              <w:rPr>
                <w:rFonts w:ascii="宋体" w:hAnsi="宋体" w:cs="宋体"/>
                <w:color w:val="auto"/>
                <w:sz w:val="24"/>
                <w:highlight w:val="none"/>
              </w:rPr>
            </w:pPr>
          </w:p>
        </w:tc>
      </w:tr>
      <w:tr>
        <w:tblPrEx>
          <w:tblCellMar>
            <w:top w:w="0" w:type="dxa"/>
            <w:left w:w="108" w:type="dxa"/>
            <w:bottom w:w="0" w:type="dxa"/>
            <w:right w:w="108" w:type="dxa"/>
          </w:tblCellMar>
        </w:tblPrEx>
        <w:trPr>
          <w:trHeight w:val="341" w:hRule="atLeast"/>
          <w:jc w:val="center"/>
        </w:trPr>
        <w:tc>
          <w:tcPr>
            <w:tcW w:w="562" w:type="dxa"/>
            <w:vMerge w:val="continue"/>
            <w:tcBorders>
              <w:left w:val="single" w:color="auto" w:sz="6" w:space="0"/>
              <w:right w:val="single" w:color="auto" w:sz="4" w:space="0"/>
            </w:tcBorders>
            <w:vAlign w:val="center"/>
          </w:tcPr>
          <w:p>
            <w:pPr>
              <w:jc w:val="center"/>
              <w:rPr>
                <w:rFonts w:ascii="宋体" w:hAnsi="宋体" w:cs="宋体"/>
                <w:color w:val="auto"/>
                <w:sz w:val="24"/>
                <w:highlight w:val="none"/>
              </w:rPr>
            </w:pPr>
          </w:p>
        </w:tc>
        <w:tc>
          <w:tcPr>
            <w:tcW w:w="7578"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leftChars="0" w:right="0" w:rightChars="0" w:firstLine="0" w:firstLineChars="0"/>
              <w:jc w:val="left"/>
              <w:textAlignment w:val="bottom"/>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6.投标人应当通过“信用中国”网站（www.creditchina.gov.cn）、中国政府采购网（www.ccgp.gov.cn）等渠道查询相关主体信用记录，对列入失信被执行人、重大税收违法案件失信主体、政府采购严重违法失信行为记录名单及其他不符合《中华人民共和国政府采购法》第二十二条规定条件的供应商，应当拒绝其参与政府采购活动；</w:t>
            </w:r>
          </w:p>
        </w:tc>
        <w:tc>
          <w:tcPr>
            <w:tcW w:w="1283" w:type="dxa"/>
            <w:tcBorders>
              <w:top w:val="single" w:color="auto" w:sz="6" w:space="0"/>
              <w:left w:val="single" w:color="auto" w:sz="6" w:space="0"/>
              <w:bottom w:val="single" w:color="auto" w:sz="6" w:space="0"/>
              <w:right w:val="single" w:color="auto" w:sz="4" w:space="0"/>
            </w:tcBorders>
            <w:vAlign w:val="center"/>
          </w:tcPr>
          <w:p>
            <w:pPr>
              <w:widowControl/>
              <w:autoSpaceDE w:val="0"/>
              <w:autoSpaceDN w:val="0"/>
              <w:ind w:left="600" w:right="-34" w:hanging="600" w:hangingChars="250"/>
              <w:jc w:val="center"/>
              <w:textAlignment w:val="bottom"/>
              <w:rPr>
                <w:rFonts w:ascii="宋体" w:hAnsi="宋体" w:cs="宋体"/>
                <w:color w:val="auto"/>
                <w:sz w:val="24"/>
                <w:highlight w:val="none"/>
              </w:rPr>
            </w:pPr>
          </w:p>
        </w:tc>
      </w:tr>
      <w:tr>
        <w:tblPrEx>
          <w:tblCellMar>
            <w:top w:w="0" w:type="dxa"/>
            <w:left w:w="108" w:type="dxa"/>
            <w:bottom w:w="0" w:type="dxa"/>
            <w:right w:w="108" w:type="dxa"/>
          </w:tblCellMar>
        </w:tblPrEx>
        <w:trPr>
          <w:trHeight w:val="341" w:hRule="atLeast"/>
          <w:jc w:val="center"/>
        </w:trPr>
        <w:tc>
          <w:tcPr>
            <w:tcW w:w="562" w:type="dxa"/>
            <w:vMerge w:val="continue"/>
            <w:tcBorders>
              <w:left w:val="single" w:color="auto" w:sz="6" w:space="0"/>
              <w:right w:val="single" w:color="auto" w:sz="4" w:space="0"/>
            </w:tcBorders>
            <w:vAlign w:val="center"/>
          </w:tcPr>
          <w:p>
            <w:pPr>
              <w:jc w:val="center"/>
              <w:rPr>
                <w:rFonts w:ascii="宋体" w:hAnsi="宋体" w:cs="宋体"/>
                <w:color w:val="auto"/>
                <w:sz w:val="24"/>
                <w:highlight w:val="none"/>
              </w:rPr>
            </w:pPr>
          </w:p>
        </w:tc>
        <w:tc>
          <w:tcPr>
            <w:tcW w:w="7578"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leftChars="0" w:right="0" w:rightChars="0" w:firstLine="0" w:firstLineChars="0"/>
              <w:jc w:val="left"/>
              <w:textAlignment w:val="bottom"/>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7.为非联合体投标；</w:t>
            </w:r>
          </w:p>
        </w:tc>
        <w:tc>
          <w:tcPr>
            <w:tcW w:w="1283" w:type="dxa"/>
            <w:tcBorders>
              <w:top w:val="single" w:color="auto" w:sz="6" w:space="0"/>
              <w:left w:val="single" w:color="auto" w:sz="6" w:space="0"/>
              <w:bottom w:val="single" w:color="auto" w:sz="6" w:space="0"/>
              <w:right w:val="single" w:color="auto" w:sz="4" w:space="0"/>
            </w:tcBorders>
            <w:vAlign w:val="center"/>
          </w:tcPr>
          <w:p>
            <w:pPr>
              <w:widowControl/>
              <w:autoSpaceDE w:val="0"/>
              <w:autoSpaceDN w:val="0"/>
              <w:ind w:left="600" w:right="-34" w:hanging="600" w:hangingChars="250"/>
              <w:jc w:val="center"/>
              <w:textAlignment w:val="bottom"/>
              <w:rPr>
                <w:rFonts w:ascii="宋体" w:hAnsi="宋体" w:cs="宋体"/>
                <w:color w:val="auto"/>
                <w:sz w:val="24"/>
                <w:highlight w:val="none"/>
              </w:rPr>
            </w:pPr>
          </w:p>
        </w:tc>
      </w:tr>
      <w:tr>
        <w:tblPrEx>
          <w:tblCellMar>
            <w:top w:w="0" w:type="dxa"/>
            <w:left w:w="108" w:type="dxa"/>
            <w:bottom w:w="0" w:type="dxa"/>
            <w:right w:w="108" w:type="dxa"/>
          </w:tblCellMar>
        </w:tblPrEx>
        <w:trPr>
          <w:trHeight w:val="712" w:hRule="atLeast"/>
          <w:jc w:val="center"/>
        </w:trPr>
        <w:tc>
          <w:tcPr>
            <w:tcW w:w="562" w:type="dxa"/>
            <w:vMerge w:val="continue"/>
            <w:tcBorders>
              <w:left w:val="single" w:color="auto" w:sz="6" w:space="0"/>
              <w:right w:val="single" w:color="auto" w:sz="4" w:space="0"/>
            </w:tcBorders>
            <w:vAlign w:val="center"/>
          </w:tcPr>
          <w:p>
            <w:pPr>
              <w:jc w:val="center"/>
              <w:rPr>
                <w:rFonts w:ascii="宋体" w:hAnsi="宋体" w:cs="宋体"/>
                <w:color w:val="auto"/>
                <w:sz w:val="24"/>
                <w:highlight w:val="none"/>
              </w:rPr>
            </w:pPr>
          </w:p>
        </w:tc>
        <w:tc>
          <w:tcPr>
            <w:tcW w:w="7578" w:type="dxa"/>
            <w:tcBorders>
              <w:top w:val="single" w:color="auto" w:sz="6" w:space="0"/>
              <w:left w:val="single" w:color="auto" w:sz="4"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leftChars="0" w:right="0" w:rightChars="0" w:firstLine="0" w:firstLineChars="0"/>
              <w:jc w:val="left"/>
              <w:textAlignment w:val="bottom"/>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8.单位负责人为同一人或存在直接控股、管理关系的不同供应商，不得参加同一合同项下的政府采购活动。为采购项目提供整体设计、规范编制或者项目管理、监理、检测等服务的供应商，不得再参加该采购项目的其他采购活动。</w:t>
            </w:r>
          </w:p>
        </w:tc>
        <w:tc>
          <w:tcPr>
            <w:tcW w:w="1283" w:type="dxa"/>
            <w:tcBorders>
              <w:top w:val="single" w:color="auto" w:sz="6" w:space="0"/>
              <w:left w:val="single" w:color="auto" w:sz="6" w:space="0"/>
              <w:bottom w:val="single" w:color="auto" w:sz="6" w:space="0"/>
              <w:right w:val="single" w:color="auto" w:sz="4" w:space="0"/>
            </w:tcBorders>
            <w:vAlign w:val="center"/>
          </w:tcPr>
          <w:p>
            <w:pPr>
              <w:widowControl/>
              <w:autoSpaceDE w:val="0"/>
              <w:autoSpaceDN w:val="0"/>
              <w:ind w:left="600" w:right="-34" w:hanging="600" w:hangingChars="250"/>
              <w:jc w:val="center"/>
              <w:textAlignment w:val="bottom"/>
              <w:rPr>
                <w:rFonts w:ascii="宋体" w:hAnsi="宋体" w:cs="宋体"/>
                <w:color w:val="auto"/>
                <w:sz w:val="24"/>
                <w:highlight w:val="yellow"/>
              </w:rPr>
            </w:pPr>
          </w:p>
        </w:tc>
      </w:tr>
      <w:tr>
        <w:tblPrEx>
          <w:tblCellMar>
            <w:top w:w="0" w:type="dxa"/>
            <w:left w:w="108" w:type="dxa"/>
            <w:bottom w:w="0" w:type="dxa"/>
            <w:right w:w="108" w:type="dxa"/>
          </w:tblCellMar>
        </w:tblPrEx>
        <w:trPr>
          <w:trHeight w:val="356" w:hRule="atLeast"/>
          <w:jc w:val="center"/>
        </w:trPr>
        <w:tc>
          <w:tcPr>
            <w:tcW w:w="9423" w:type="dxa"/>
            <w:gridSpan w:val="3"/>
            <w:tcBorders>
              <w:top w:val="single" w:color="auto" w:sz="6" w:space="0"/>
              <w:left w:val="single" w:color="auto" w:sz="6" w:space="0"/>
              <w:bottom w:val="single" w:color="auto" w:sz="6" w:space="0"/>
              <w:right w:val="single" w:color="auto" w:sz="4" w:space="0"/>
            </w:tcBorders>
            <w:vAlign w:val="center"/>
          </w:tcPr>
          <w:p>
            <w:pPr>
              <w:widowControl/>
              <w:autoSpaceDE w:val="0"/>
              <w:autoSpaceDN w:val="0"/>
              <w:ind w:left="600" w:right="-34" w:hanging="600" w:hangingChars="250"/>
              <w:jc w:val="left"/>
              <w:textAlignment w:val="bottom"/>
              <w:rPr>
                <w:rFonts w:ascii="宋体" w:hAnsi="宋体" w:cs="宋体"/>
                <w:color w:val="auto"/>
                <w:sz w:val="24"/>
                <w:highlight w:val="none"/>
              </w:rPr>
            </w:pPr>
            <w:r>
              <w:rPr>
                <w:rFonts w:hint="eastAsia" w:ascii="宋体" w:hAnsi="宋体" w:cs="宋体"/>
                <w:color w:val="auto"/>
                <w:sz w:val="24"/>
                <w:highlight w:val="none"/>
              </w:rPr>
              <w:t>审查人签字：</w:t>
            </w:r>
          </w:p>
        </w:tc>
      </w:tr>
    </w:tbl>
    <w:p>
      <w:pPr>
        <w:spacing w:line="360" w:lineRule="auto"/>
        <w:rPr>
          <w:rFonts w:ascii="宋体" w:hAnsi="宋体" w:cs="宋体"/>
          <w:color w:val="auto"/>
          <w:sz w:val="24"/>
          <w:highlight w:val="none"/>
        </w:rPr>
      </w:pPr>
      <w:r>
        <w:rPr>
          <w:rFonts w:hint="eastAsia" w:ascii="宋体" w:hAnsi="宋体" w:cs="宋体"/>
          <w:color w:val="auto"/>
          <w:sz w:val="24"/>
          <w:highlight w:val="none"/>
        </w:rPr>
        <w:t>注：本表中符合评审内容要求的写“√”，不符合评审内容要求的写“×”。结论为“合格”或“不合格”。结论不合格的不进入符合性审查阶段。</w:t>
      </w:r>
    </w:p>
    <w:p>
      <w:pPr>
        <w:spacing w:line="360" w:lineRule="auto"/>
        <w:ind w:firstLine="482" w:firstLineChars="200"/>
        <w:outlineLvl w:val="0"/>
        <w:rPr>
          <w:rFonts w:ascii="宋体" w:hAnsi="宋体" w:cs="宋体"/>
          <w:b/>
          <w:bCs/>
          <w:color w:val="auto"/>
          <w:sz w:val="24"/>
          <w:highlight w:val="none"/>
        </w:rPr>
      </w:pPr>
      <w:bookmarkStart w:id="49" w:name="_Toc32204"/>
      <w:bookmarkStart w:id="50" w:name="_Toc17472"/>
      <w:r>
        <w:rPr>
          <w:rFonts w:hint="eastAsia" w:ascii="宋体" w:hAnsi="宋体" w:cs="宋体"/>
          <w:b/>
          <w:bCs/>
          <w:color w:val="auto"/>
          <w:sz w:val="24"/>
          <w:highlight w:val="none"/>
        </w:rPr>
        <w:t>16、评标过程的保密性</w:t>
      </w:r>
      <w:bookmarkEnd w:id="49"/>
      <w:bookmarkEnd w:id="50"/>
    </w:p>
    <w:p>
      <w:pPr>
        <w:spacing w:line="360" w:lineRule="auto"/>
        <w:ind w:firstLine="360" w:firstLineChars="150"/>
        <w:rPr>
          <w:rFonts w:ascii="宋体" w:hAnsi="宋体" w:cs="宋体"/>
          <w:color w:val="auto"/>
          <w:sz w:val="24"/>
          <w:highlight w:val="none"/>
        </w:rPr>
      </w:pPr>
      <w:r>
        <w:rPr>
          <w:rFonts w:hint="eastAsia" w:ascii="宋体" w:hAnsi="宋体" w:cs="宋体"/>
          <w:color w:val="auto"/>
          <w:sz w:val="24"/>
          <w:highlight w:val="none"/>
        </w:rPr>
        <w:t xml:space="preserve"> 16.1公开开标后，直至向中标的投标人授予合同时止，除按招标文件规定予以公开的评标结果外，凡与审查、澄清、评价和比较投标有关的资料以及授标意见等，均不得向投标人及与评标无关的其他人透露。</w:t>
      </w:r>
    </w:p>
    <w:p>
      <w:pPr>
        <w:spacing w:line="360" w:lineRule="auto"/>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17、评标</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17.1采购代理机构负责组织评标工作，并履行下列职责：</w:t>
      </w:r>
    </w:p>
    <w:p>
      <w:pPr>
        <w:spacing w:line="360" w:lineRule="auto"/>
        <w:ind w:firstLine="360" w:firstLineChars="150"/>
        <w:rPr>
          <w:rFonts w:ascii="宋体" w:hAnsi="宋体" w:cs="宋体"/>
          <w:color w:val="auto"/>
          <w:sz w:val="24"/>
          <w:highlight w:val="none"/>
        </w:rPr>
      </w:pPr>
      <w:r>
        <w:rPr>
          <w:rFonts w:hint="eastAsia" w:ascii="宋体" w:hAnsi="宋体" w:cs="宋体"/>
          <w:color w:val="auto"/>
          <w:sz w:val="24"/>
          <w:highlight w:val="none"/>
        </w:rPr>
        <w:t>（一）核对评审专家身份和采购人代表授权函，对评审专家在政府采购活动中的职责履行情况予以记录，并及时将有关违法违规行为向财政部门报告；</w:t>
      </w:r>
    </w:p>
    <w:p>
      <w:pPr>
        <w:spacing w:line="360" w:lineRule="auto"/>
        <w:ind w:firstLine="360" w:firstLineChars="150"/>
        <w:rPr>
          <w:rFonts w:ascii="宋体" w:hAnsi="宋体" w:cs="宋体"/>
          <w:color w:val="auto"/>
          <w:sz w:val="24"/>
          <w:highlight w:val="none"/>
        </w:rPr>
      </w:pPr>
      <w:r>
        <w:rPr>
          <w:rFonts w:hint="eastAsia" w:ascii="宋体" w:hAnsi="宋体" w:cs="宋体"/>
          <w:color w:val="auto"/>
          <w:sz w:val="24"/>
          <w:highlight w:val="none"/>
        </w:rPr>
        <w:t>（二）宣布评标纪律；</w:t>
      </w:r>
    </w:p>
    <w:p>
      <w:pPr>
        <w:spacing w:line="360" w:lineRule="auto"/>
        <w:ind w:firstLine="360" w:firstLineChars="150"/>
        <w:rPr>
          <w:rFonts w:ascii="宋体" w:hAnsi="宋体" w:cs="宋体"/>
          <w:color w:val="auto"/>
          <w:sz w:val="24"/>
          <w:highlight w:val="none"/>
        </w:rPr>
      </w:pPr>
      <w:r>
        <w:rPr>
          <w:rFonts w:hint="eastAsia" w:ascii="宋体" w:hAnsi="宋体" w:cs="宋体"/>
          <w:color w:val="auto"/>
          <w:sz w:val="24"/>
          <w:highlight w:val="none"/>
        </w:rPr>
        <w:t>（三）公布投标人名单，告知评审专家应当回避的情形；</w:t>
      </w:r>
    </w:p>
    <w:p>
      <w:pPr>
        <w:spacing w:line="360" w:lineRule="auto"/>
        <w:ind w:firstLine="360" w:firstLineChars="150"/>
        <w:rPr>
          <w:rFonts w:ascii="宋体" w:hAnsi="宋体" w:cs="宋体"/>
          <w:color w:val="auto"/>
          <w:sz w:val="24"/>
          <w:highlight w:val="none"/>
        </w:rPr>
      </w:pPr>
      <w:r>
        <w:rPr>
          <w:rFonts w:hint="eastAsia" w:ascii="宋体" w:hAnsi="宋体" w:cs="宋体"/>
          <w:color w:val="auto"/>
          <w:sz w:val="24"/>
          <w:highlight w:val="none"/>
        </w:rPr>
        <w:t>（四）组织评标委员会推选评标组长，采购人代表不得担任组长；</w:t>
      </w:r>
    </w:p>
    <w:p>
      <w:pPr>
        <w:spacing w:line="360" w:lineRule="auto"/>
        <w:ind w:firstLine="360" w:firstLineChars="150"/>
        <w:rPr>
          <w:rFonts w:ascii="宋体" w:hAnsi="宋体" w:cs="宋体"/>
          <w:color w:val="auto"/>
          <w:sz w:val="24"/>
          <w:highlight w:val="none"/>
        </w:rPr>
      </w:pPr>
      <w:r>
        <w:rPr>
          <w:rFonts w:hint="eastAsia" w:ascii="宋体" w:hAnsi="宋体" w:cs="宋体"/>
          <w:color w:val="auto"/>
          <w:sz w:val="24"/>
          <w:highlight w:val="none"/>
        </w:rPr>
        <w:t>（五）在评标期间采取必要的通讯管理措施，保证评标活动不受外界干扰；</w:t>
      </w:r>
    </w:p>
    <w:p>
      <w:pPr>
        <w:spacing w:line="360" w:lineRule="auto"/>
        <w:ind w:firstLine="360" w:firstLineChars="150"/>
        <w:rPr>
          <w:rFonts w:ascii="宋体" w:hAnsi="宋体" w:cs="宋体"/>
          <w:color w:val="auto"/>
          <w:sz w:val="24"/>
          <w:highlight w:val="none"/>
        </w:rPr>
      </w:pPr>
      <w:r>
        <w:rPr>
          <w:rFonts w:hint="eastAsia" w:ascii="宋体" w:hAnsi="宋体" w:cs="宋体"/>
          <w:color w:val="auto"/>
          <w:sz w:val="24"/>
          <w:highlight w:val="none"/>
        </w:rPr>
        <w:t>（六）根据评标委员会的要求介绍政府采购相关政策法规、招标文件；</w:t>
      </w:r>
    </w:p>
    <w:p>
      <w:pPr>
        <w:spacing w:line="360" w:lineRule="auto"/>
        <w:ind w:firstLine="360" w:firstLineChars="150"/>
        <w:rPr>
          <w:rFonts w:ascii="宋体" w:hAnsi="宋体" w:cs="宋体"/>
          <w:color w:val="auto"/>
          <w:sz w:val="24"/>
          <w:highlight w:val="none"/>
        </w:rPr>
      </w:pPr>
      <w:r>
        <w:rPr>
          <w:rFonts w:hint="eastAsia" w:ascii="宋体" w:hAnsi="宋体" w:cs="宋体"/>
          <w:color w:val="auto"/>
          <w:sz w:val="24"/>
          <w:highlight w:val="none"/>
        </w:rPr>
        <w:t>（七）维护评标秩序，监督评标委员会依照招标文件规定的评标程序、方法和标准进行独立评审，及时制止和纠正采购人代表、评审专家的倾向性言论或者违法违规行为；</w:t>
      </w:r>
    </w:p>
    <w:p>
      <w:pPr>
        <w:spacing w:line="360" w:lineRule="auto"/>
        <w:ind w:firstLine="360" w:firstLineChars="150"/>
        <w:rPr>
          <w:rFonts w:ascii="宋体" w:hAnsi="宋体" w:cs="宋体"/>
          <w:color w:val="auto"/>
          <w:sz w:val="24"/>
          <w:highlight w:val="none"/>
        </w:rPr>
      </w:pPr>
      <w:r>
        <w:rPr>
          <w:rFonts w:hint="eastAsia" w:ascii="宋体" w:hAnsi="宋体" w:cs="宋体"/>
          <w:color w:val="auto"/>
          <w:sz w:val="24"/>
          <w:highlight w:val="none"/>
        </w:rPr>
        <w:t>（八）核对评标结果，有《政府采购货物和服务招标投标管理办法》（中华人民共和国财政部令第87号）规定情形的，要求评标委员会复核或者书面说明理由，评标委员会拒绝的，应予记录并向本级财政部门报告；</w:t>
      </w:r>
    </w:p>
    <w:p>
      <w:pPr>
        <w:spacing w:line="360" w:lineRule="auto"/>
        <w:ind w:firstLine="360" w:firstLineChars="150"/>
        <w:rPr>
          <w:rFonts w:ascii="宋体" w:hAnsi="宋体" w:cs="宋体"/>
          <w:color w:val="auto"/>
          <w:sz w:val="24"/>
          <w:highlight w:val="none"/>
        </w:rPr>
      </w:pPr>
      <w:r>
        <w:rPr>
          <w:rFonts w:hint="eastAsia" w:ascii="宋体" w:hAnsi="宋体" w:cs="宋体"/>
          <w:color w:val="auto"/>
          <w:sz w:val="24"/>
          <w:highlight w:val="none"/>
        </w:rPr>
        <w:t>（九）评审工作完成后，按照规定向评审专家支付劳务报酬和异地评审差旅费，不得向评审专家以外的其他人员支付评审劳务报酬；</w:t>
      </w:r>
    </w:p>
    <w:p>
      <w:pPr>
        <w:spacing w:line="360" w:lineRule="auto"/>
        <w:ind w:firstLine="360" w:firstLineChars="150"/>
        <w:rPr>
          <w:rFonts w:ascii="宋体" w:hAnsi="宋体" w:cs="宋体"/>
          <w:color w:val="auto"/>
          <w:sz w:val="24"/>
          <w:highlight w:val="none"/>
        </w:rPr>
      </w:pPr>
      <w:r>
        <w:rPr>
          <w:rFonts w:hint="eastAsia" w:ascii="宋体" w:hAnsi="宋体" w:cs="宋体"/>
          <w:color w:val="auto"/>
          <w:sz w:val="24"/>
          <w:highlight w:val="none"/>
        </w:rPr>
        <w:t>（十）处理与评标有关的其他事项。</w:t>
      </w:r>
    </w:p>
    <w:p>
      <w:pPr>
        <w:spacing w:line="360" w:lineRule="auto"/>
        <w:ind w:firstLine="600" w:firstLineChars="250"/>
        <w:rPr>
          <w:rFonts w:ascii="宋体" w:hAnsi="宋体" w:cs="宋体"/>
          <w:color w:val="auto"/>
          <w:sz w:val="24"/>
          <w:highlight w:val="none"/>
        </w:rPr>
      </w:pPr>
      <w:r>
        <w:rPr>
          <w:rFonts w:hint="eastAsia" w:ascii="宋体" w:hAnsi="宋体" w:cs="宋体"/>
          <w:color w:val="auto"/>
          <w:sz w:val="24"/>
          <w:highlight w:val="none"/>
        </w:rPr>
        <w:t>采购人可以在评标前说明项目背景和采购需求，说明内容不得含有歧视性、倾向性意见，不得超出招标文件所述范围。说明应当提交书面材料，并随采购文件一并存档。</w:t>
      </w:r>
    </w:p>
    <w:p>
      <w:pPr>
        <w:spacing w:line="360" w:lineRule="auto"/>
        <w:ind w:firstLine="480" w:firstLineChars="200"/>
        <w:rPr>
          <w:rFonts w:ascii="Arial" w:hAnsi="Arial" w:cs="Arial"/>
          <w:color w:val="auto"/>
          <w:sz w:val="24"/>
          <w:highlight w:val="none"/>
        </w:rPr>
      </w:pPr>
      <w:r>
        <w:rPr>
          <w:rFonts w:hint="eastAsia" w:ascii="宋体" w:hAnsi="宋体" w:cs="宋体"/>
          <w:color w:val="auto"/>
          <w:sz w:val="24"/>
          <w:highlight w:val="none"/>
          <w:lang w:val="zh-CN"/>
        </w:rPr>
        <w:t>评标委员会由评审专家</w:t>
      </w:r>
      <w:r>
        <w:rPr>
          <w:rFonts w:hint="eastAsia" w:ascii="宋体" w:hAnsi="宋体" w:cs="宋体"/>
          <w:color w:val="auto"/>
          <w:sz w:val="24"/>
          <w:highlight w:val="none"/>
          <w:lang w:val="en-US" w:eastAsia="zh-CN"/>
        </w:rPr>
        <w:t>6人</w:t>
      </w:r>
      <w:r>
        <w:rPr>
          <w:rFonts w:hint="eastAsia" w:ascii="宋体" w:hAnsi="宋体" w:cs="宋体"/>
          <w:color w:val="auto"/>
          <w:sz w:val="24"/>
          <w:highlight w:val="none"/>
          <w:lang w:val="zh-CN"/>
        </w:rPr>
        <w:t>和采购人代表</w:t>
      </w:r>
      <w:r>
        <w:rPr>
          <w:rFonts w:hint="eastAsia" w:ascii="宋体" w:hAnsi="宋体" w:cs="宋体"/>
          <w:color w:val="auto"/>
          <w:sz w:val="24"/>
          <w:highlight w:val="none"/>
          <w:lang w:val="en-US" w:eastAsia="zh-CN"/>
        </w:rPr>
        <w:t>1人</w:t>
      </w:r>
      <w:r>
        <w:rPr>
          <w:rFonts w:hint="eastAsia" w:ascii="宋体" w:hAnsi="宋体" w:cs="宋体"/>
          <w:color w:val="auto"/>
          <w:sz w:val="24"/>
          <w:highlight w:val="none"/>
          <w:lang w:val="zh-CN"/>
        </w:rPr>
        <w:t>组成。评标委员会的专家成员从省政府采购监督管理部门建立的专家库中随机抽取产生，采购人代表由采购人委派。</w:t>
      </w:r>
      <w:r>
        <w:rPr>
          <w:rFonts w:hint="eastAsia" w:ascii="宋体" w:hAnsi="宋体" w:cs="宋体"/>
          <w:color w:val="auto"/>
          <w:sz w:val="24"/>
          <w:highlight w:val="none"/>
        </w:rPr>
        <w:t>评标委员会根据有关法律法规和招标文件规定的方法和标准独立评标，负责完成评标的全过程直至评定预中标人，</w:t>
      </w:r>
      <w:r>
        <w:rPr>
          <w:rFonts w:ascii="Arial" w:hAnsi="Arial" w:cs="Arial"/>
          <w:color w:val="auto"/>
          <w:sz w:val="24"/>
          <w:highlight w:val="none"/>
        </w:rPr>
        <w:t>成员人数应当为</w:t>
      </w:r>
      <w:r>
        <w:rPr>
          <w:rFonts w:hint="eastAsia" w:ascii="Arial" w:hAnsi="Arial" w:cs="Arial"/>
          <w:color w:val="auto"/>
          <w:sz w:val="24"/>
          <w:highlight w:val="none"/>
        </w:rPr>
        <w:t>5</w:t>
      </w:r>
      <w:r>
        <w:rPr>
          <w:rFonts w:ascii="Arial" w:hAnsi="Arial" w:cs="Arial"/>
          <w:color w:val="auto"/>
          <w:sz w:val="24"/>
          <w:highlight w:val="none"/>
        </w:rPr>
        <w:t>人以上单数，其中评审专家不得少于成员总数的三分之二</w:t>
      </w:r>
      <w:r>
        <w:rPr>
          <w:rFonts w:hint="eastAsia" w:ascii="Arial" w:hAnsi="Arial" w:cs="Arial"/>
          <w:color w:val="auto"/>
          <w:sz w:val="24"/>
          <w:highlight w:val="none"/>
        </w:rPr>
        <w:t>。</w:t>
      </w:r>
    </w:p>
    <w:p>
      <w:pPr>
        <w:spacing w:line="360" w:lineRule="auto"/>
        <w:ind w:firstLine="480" w:firstLineChars="200"/>
        <w:rPr>
          <w:rFonts w:ascii="Arial" w:hAnsi="Arial" w:cs="Arial"/>
          <w:color w:val="auto"/>
          <w:sz w:val="24"/>
          <w:highlight w:val="none"/>
        </w:rPr>
      </w:pPr>
      <w:r>
        <w:rPr>
          <w:rFonts w:hint="eastAsia" w:ascii="Arial" w:hAnsi="Arial" w:cs="Arial"/>
          <w:color w:val="auto"/>
          <w:sz w:val="24"/>
          <w:highlight w:val="none"/>
        </w:rPr>
        <w:t>采购项目符合下列情形之一的，评标委员会成员人数应当为7人以上单数：</w:t>
      </w:r>
    </w:p>
    <w:p>
      <w:pPr>
        <w:spacing w:line="360" w:lineRule="auto"/>
        <w:ind w:firstLine="480" w:firstLineChars="200"/>
        <w:rPr>
          <w:rFonts w:ascii="Arial" w:hAnsi="Arial" w:cs="Arial"/>
          <w:color w:val="auto"/>
          <w:sz w:val="24"/>
          <w:highlight w:val="none"/>
        </w:rPr>
      </w:pPr>
      <w:r>
        <w:rPr>
          <w:rFonts w:hint="eastAsia" w:ascii="Arial" w:hAnsi="Arial" w:cs="Arial"/>
          <w:color w:val="auto"/>
          <w:sz w:val="24"/>
          <w:highlight w:val="none"/>
        </w:rPr>
        <w:t>（一）采购预算金额在1000万元以上；</w:t>
      </w:r>
    </w:p>
    <w:p>
      <w:pPr>
        <w:spacing w:line="360" w:lineRule="auto"/>
        <w:ind w:firstLine="480" w:firstLineChars="200"/>
        <w:rPr>
          <w:rFonts w:ascii="Arial" w:hAnsi="Arial" w:cs="Arial"/>
          <w:color w:val="auto"/>
          <w:sz w:val="24"/>
          <w:highlight w:val="none"/>
        </w:rPr>
      </w:pPr>
      <w:r>
        <w:rPr>
          <w:rFonts w:hint="eastAsia" w:ascii="Arial" w:hAnsi="Arial" w:cs="Arial"/>
          <w:color w:val="auto"/>
          <w:sz w:val="24"/>
          <w:highlight w:val="none"/>
        </w:rPr>
        <w:t>（二）技术复杂；</w:t>
      </w:r>
    </w:p>
    <w:p>
      <w:pPr>
        <w:spacing w:line="360" w:lineRule="auto"/>
        <w:ind w:firstLine="480" w:firstLineChars="200"/>
        <w:rPr>
          <w:rFonts w:ascii="Arial" w:hAnsi="Arial" w:cs="Arial"/>
          <w:color w:val="auto"/>
          <w:sz w:val="24"/>
          <w:highlight w:val="none"/>
        </w:rPr>
      </w:pPr>
      <w:r>
        <w:rPr>
          <w:rFonts w:hint="eastAsia" w:ascii="Arial" w:hAnsi="Arial" w:cs="Arial"/>
          <w:color w:val="auto"/>
          <w:sz w:val="24"/>
          <w:highlight w:val="none"/>
        </w:rPr>
        <w:t>（三）社会影响较大。</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评标委员会负责具体评标事物，并独立履行下列职责：</w:t>
      </w:r>
    </w:p>
    <w:p>
      <w:pPr>
        <w:spacing w:line="360" w:lineRule="auto"/>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（一）审查、评价投标文件是否符合招标文件的商务、技术等实质性要求；</w:t>
      </w:r>
    </w:p>
    <w:p>
      <w:pPr>
        <w:spacing w:line="360" w:lineRule="auto"/>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（二）要求投标人对投标文件有关事项作出澄清或者说明；</w:t>
      </w:r>
    </w:p>
    <w:p>
      <w:pPr>
        <w:spacing w:line="360" w:lineRule="auto"/>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（三）对投标文件进行比较和评价；</w:t>
      </w:r>
    </w:p>
    <w:p>
      <w:pPr>
        <w:spacing w:line="360" w:lineRule="auto"/>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（四）确定中标候选人名单，以及根据采购人委托直接确定中标人；</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lang w:val="zh-CN"/>
        </w:rPr>
        <w:t>（五）向采购人、采购代理机构或者有关部门报告评标中发现的违法行为。</w:t>
      </w:r>
    </w:p>
    <w:p>
      <w:pPr>
        <w:spacing w:line="360" w:lineRule="auto"/>
        <w:ind w:firstLine="361" w:firstLineChars="150"/>
        <w:rPr>
          <w:rFonts w:ascii="宋体" w:hAnsi="宋体" w:cs="宋体"/>
          <w:b/>
          <w:color w:val="auto"/>
          <w:sz w:val="24"/>
          <w:highlight w:val="none"/>
        </w:rPr>
      </w:pPr>
      <w:r>
        <w:rPr>
          <w:rFonts w:hint="eastAsia" w:ascii="宋体" w:hAnsi="宋体" w:cs="宋体"/>
          <w:b/>
          <w:color w:val="auto"/>
          <w:sz w:val="24"/>
          <w:highlight w:val="none"/>
        </w:rPr>
        <w:t xml:space="preserve"> 18、政府采购进口产品的规定</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按照财政部《政府采购进口产品管理办法》第一章第四条关于“政府采购应当采购本国产品，确需采购进口产品（指通过中国海关报关验放进入中国境内且产自关境外的产品）的，实行审核管理”的规定，招标采购文件中凡未明确标明采购进口产品的，均为采购本国产品，投标人必须投标本国产品，投标进口产品的为无效投标。</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在中国境内生产或组装的外国品牌产品须标明该产品在中国国内制造厂商名称。否则，按进口产品对待。</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19、政府强制采购节能产品的规定</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19.1 按照财政部、发展改革委最新发布执行的《</w:t>
      </w:r>
      <w:r>
        <w:rPr>
          <w:color w:val="auto"/>
          <w:highlight w:val="none"/>
        </w:rPr>
        <w:fldChar w:fldCharType="begin"/>
      </w:r>
      <w:r>
        <w:rPr>
          <w:color w:val="auto"/>
          <w:highlight w:val="none"/>
        </w:rPr>
        <w:instrText xml:space="preserve"> HYPERLINK "http://gks.mof.gov.cn/zhengfucaigouguanli/201904/P020190404409422168443.pdf" </w:instrText>
      </w:r>
      <w:r>
        <w:rPr>
          <w:color w:val="auto"/>
          <w:highlight w:val="none"/>
        </w:rPr>
        <w:fldChar w:fldCharType="separate"/>
      </w:r>
      <w:r>
        <w:rPr>
          <w:rFonts w:hint="eastAsia" w:ascii="宋体" w:hAnsi="宋体" w:cs="宋体"/>
          <w:color w:val="auto"/>
          <w:sz w:val="24"/>
          <w:highlight w:val="none"/>
        </w:rPr>
        <w:t>节能产品政府采购品目清单</w:t>
      </w:r>
      <w:r>
        <w:rPr>
          <w:rFonts w:hint="eastAsia" w:ascii="宋体" w:hAnsi="宋体" w:cs="宋体"/>
          <w:color w:val="auto"/>
          <w:sz w:val="24"/>
          <w:highlight w:val="none"/>
        </w:rPr>
        <w:fldChar w:fldCharType="end"/>
      </w:r>
      <w:r>
        <w:rPr>
          <w:rFonts w:hint="eastAsia" w:ascii="宋体" w:hAnsi="宋体" w:cs="宋体"/>
          <w:color w:val="auto"/>
          <w:sz w:val="24"/>
          <w:highlight w:val="none"/>
        </w:rPr>
        <w:t>》的规定，《货物需求及技术规格要求》中凡包含强制采购产品的，投标人必须提供列入《</w:t>
      </w:r>
      <w:r>
        <w:rPr>
          <w:color w:val="auto"/>
          <w:highlight w:val="none"/>
        </w:rPr>
        <w:fldChar w:fldCharType="begin"/>
      </w:r>
      <w:r>
        <w:rPr>
          <w:color w:val="auto"/>
          <w:highlight w:val="none"/>
        </w:rPr>
        <w:instrText xml:space="preserve"> HYPERLINK "http://gks.mof.gov.cn/zhengfucaigouguanli/201904/P020190404409422168443.pdf" </w:instrText>
      </w:r>
      <w:r>
        <w:rPr>
          <w:color w:val="auto"/>
          <w:highlight w:val="none"/>
        </w:rPr>
        <w:fldChar w:fldCharType="separate"/>
      </w:r>
      <w:r>
        <w:rPr>
          <w:rFonts w:hint="eastAsia" w:ascii="宋体" w:hAnsi="宋体" w:cs="宋体"/>
          <w:color w:val="auto"/>
          <w:sz w:val="24"/>
          <w:highlight w:val="none"/>
        </w:rPr>
        <w:t>节能产品政府采购品目清单</w:t>
      </w:r>
      <w:r>
        <w:rPr>
          <w:rFonts w:hint="eastAsia" w:ascii="宋体" w:hAnsi="宋体" w:cs="宋体"/>
          <w:color w:val="auto"/>
          <w:sz w:val="24"/>
          <w:highlight w:val="none"/>
        </w:rPr>
        <w:fldChar w:fldCharType="end"/>
      </w:r>
      <w:r>
        <w:rPr>
          <w:rFonts w:hint="eastAsia" w:ascii="宋体" w:hAnsi="宋体" w:cs="宋体"/>
          <w:color w:val="auto"/>
          <w:sz w:val="24"/>
          <w:highlight w:val="none"/>
        </w:rPr>
        <w:t>》的要求产品，投标文件中需提供认证证明，认证机构须在市场监管总局公布的名录内详见《市场监管总局关于发布参与实施政府采购节能产品、环境标志产品认证机构名录的公告（2019年第16号文件）》，否则无效。</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19.2《货物需求及技术规格要求》中包含计算机设备的，投标人必须投标预装正版操作系统软件的计算机产品，否则无效。</w:t>
      </w:r>
    </w:p>
    <w:p>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五、中标与合同</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20、</w:t>
      </w:r>
      <w:bookmarkStart w:id="51" w:name="OLE_LINK3"/>
      <w:r>
        <w:rPr>
          <w:rFonts w:hint="eastAsia" w:ascii="宋体" w:hAnsi="宋体" w:cs="宋体"/>
          <w:b/>
          <w:color w:val="auto"/>
          <w:sz w:val="24"/>
          <w:highlight w:val="none"/>
        </w:rPr>
        <w:t>中标</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20.1采购代理机构应当在评标结束后2个工作日内将评标报告送采购人。</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20.2 采购代理机构应自采购人确定中标人之日起2个工作日内，在省级以上财政部门指定的媒体上公告中标结果，招标文件应当随中标结果同时公告。中标公告期限为1个工作日。</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20.3在公告中标结果的同时，采购代理机构向中标人发出中标通知书；对未通过资格审查的投标人，将告知其未通过的原因；采用综合评分法评审的，还将告知未中标人本人的评审得分与排序。</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20.4中标人在领取中标通知书时须向代理机构出示中标服务费的缴纳凭证，如未按招标文件中的金额足额缴纳，招标代理机构不予发放中标通知书，由此所造成的损失由中标单位自行承担。</w:t>
      </w:r>
      <w:bookmarkEnd w:id="51"/>
    </w:p>
    <w:p>
      <w:pPr>
        <w:spacing w:line="360" w:lineRule="auto"/>
        <w:ind w:firstLine="482" w:firstLineChars="200"/>
        <w:outlineLvl w:val="0"/>
        <w:rPr>
          <w:rFonts w:ascii="宋体" w:hAnsi="宋体" w:cs="宋体"/>
          <w:b/>
          <w:bCs/>
          <w:color w:val="auto"/>
          <w:sz w:val="24"/>
          <w:highlight w:val="none"/>
        </w:rPr>
      </w:pPr>
      <w:bookmarkStart w:id="52" w:name="_Toc29534"/>
      <w:bookmarkStart w:id="53" w:name="_Toc24377"/>
      <w:r>
        <w:rPr>
          <w:rFonts w:hint="eastAsia" w:ascii="宋体" w:hAnsi="宋体" w:cs="宋体"/>
          <w:b/>
          <w:bCs/>
          <w:color w:val="auto"/>
          <w:sz w:val="24"/>
          <w:highlight w:val="none"/>
        </w:rPr>
        <w:t>21、授标时更改货物数量的权利</w:t>
      </w:r>
      <w:bookmarkEnd w:id="52"/>
      <w:bookmarkEnd w:id="53"/>
    </w:p>
    <w:p>
      <w:pPr>
        <w:spacing w:line="360" w:lineRule="auto"/>
        <w:ind w:firstLine="480" w:firstLineChars="200"/>
        <w:outlineLvl w:val="0"/>
        <w:rPr>
          <w:rFonts w:ascii="宋体" w:hAnsi="宋体" w:cs="宋体"/>
          <w:color w:val="auto"/>
          <w:sz w:val="24"/>
          <w:highlight w:val="none"/>
        </w:rPr>
      </w:pPr>
      <w:bookmarkStart w:id="54" w:name="_Toc5610"/>
      <w:bookmarkStart w:id="55" w:name="_Toc13137"/>
      <w:r>
        <w:rPr>
          <w:rFonts w:hint="eastAsia" w:ascii="宋体" w:hAnsi="宋体" w:cs="宋体"/>
          <w:color w:val="auto"/>
          <w:sz w:val="24"/>
          <w:highlight w:val="none"/>
        </w:rPr>
        <w:t>21.1采购人在授予合同时有权在一定幅度内对《货物需求及技术规格》中规定的货物数量和服务予以增加或减少，但不得改变单价和其他条款和条件。</w:t>
      </w:r>
      <w:bookmarkEnd w:id="54"/>
      <w:bookmarkEnd w:id="55"/>
    </w:p>
    <w:p>
      <w:pPr>
        <w:spacing w:line="360" w:lineRule="auto"/>
        <w:ind w:firstLine="480" w:firstLineChars="200"/>
        <w:outlineLvl w:val="0"/>
        <w:rPr>
          <w:rFonts w:ascii="宋体" w:hAnsi="宋体" w:cs="宋体"/>
          <w:color w:val="auto"/>
          <w:sz w:val="24"/>
          <w:highlight w:val="none"/>
        </w:rPr>
      </w:pPr>
      <w:bookmarkStart w:id="56" w:name="_Toc23211"/>
      <w:bookmarkStart w:id="57" w:name="_Toc12722"/>
      <w:r>
        <w:rPr>
          <w:rFonts w:hint="eastAsia" w:ascii="宋体" w:hAnsi="宋体" w:cs="宋体"/>
          <w:color w:val="auto"/>
          <w:sz w:val="24"/>
          <w:highlight w:val="none"/>
        </w:rPr>
        <w:t>21.2按照《中华人民共和国政府采购法》的规定，在合同履行中，采购人需要追加与合同标的物相同的货物、工程或者服务的，在不改变合同其他条款的前提下，可以与中标人签订补充合同，但所有补充合同的采购金额不得超过原合同采购金额的10%。</w:t>
      </w:r>
      <w:bookmarkEnd w:id="56"/>
      <w:bookmarkEnd w:id="57"/>
    </w:p>
    <w:p>
      <w:pPr>
        <w:spacing w:line="360" w:lineRule="auto"/>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22、签订合同</w:t>
      </w:r>
    </w:p>
    <w:p>
      <w:pPr>
        <w:spacing w:line="360" w:lineRule="auto"/>
        <w:ind w:firstLine="480" w:firstLineChars="200"/>
        <w:outlineLvl w:val="0"/>
        <w:rPr>
          <w:rFonts w:ascii="宋体" w:hAnsi="宋体" w:cs="宋体"/>
          <w:color w:val="auto"/>
          <w:sz w:val="24"/>
          <w:highlight w:val="none"/>
        </w:rPr>
      </w:pPr>
      <w:bookmarkStart w:id="58" w:name="_Toc27784"/>
      <w:bookmarkStart w:id="59" w:name="_Toc425"/>
      <w:r>
        <w:rPr>
          <w:rFonts w:hint="eastAsia" w:ascii="宋体" w:hAnsi="宋体" w:cs="宋体"/>
          <w:color w:val="auto"/>
          <w:sz w:val="24"/>
          <w:highlight w:val="none"/>
        </w:rPr>
        <w:t>22.1 中标通知书发出后，采购人不得违法改变中标结果，中标人无正当理由不得放弃中标。</w:t>
      </w:r>
      <w:bookmarkEnd w:id="58"/>
      <w:bookmarkEnd w:id="59"/>
    </w:p>
    <w:p>
      <w:pPr>
        <w:spacing w:line="360" w:lineRule="auto"/>
        <w:ind w:firstLine="480" w:firstLineChars="200"/>
        <w:outlineLvl w:val="0"/>
        <w:rPr>
          <w:rFonts w:ascii="宋体" w:hAnsi="宋体" w:cs="宋体"/>
          <w:color w:val="auto"/>
          <w:sz w:val="24"/>
          <w:highlight w:val="none"/>
        </w:rPr>
      </w:pPr>
      <w:bookmarkStart w:id="60" w:name="_Toc2092"/>
      <w:bookmarkStart w:id="61" w:name="_Toc23996"/>
      <w:r>
        <w:rPr>
          <w:rFonts w:hint="eastAsia" w:ascii="宋体" w:hAnsi="宋体" w:cs="宋体"/>
          <w:color w:val="auto"/>
          <w:sz w:val="24"/>
          <w:highlight w:val="none"/>
        </w:rPr>
        <w:t>22.2采购人应当自中标通知书发出之日起30日内，按照招标文件和中标人投标文件的规定，与中标人签订书面合同。所签订的合同不得对招标文件确定的事项和中标人投标文件作实质性修改。</w:t>
      </w:r>
      <w:bookmarkEnd w:id="60"/>
      <w:bookmarkEnd w:id="61"/>
    </w:p>
    <w:p>
      <w:pPr>
        <w:spacing w:line="360" w:lineRule="auto"/>
        <w:ind w:firstLine="480" w:firstLineChars="200"/>
        <w:outlineLvl w:val="0"/>
        <w:rPr>
          <w:rFonts w:ascii="宋体" w:hAnsi="宋体" w:cs="宋体"/>
          <w:color w:val="auto"/>
          <w:sz w:val="24"/>
          <w:highlight w:val="none"/>
        </w:rPr>
      </w:pPr>
      <w:bookmarkStart w:id="62" w:name="_Toc7632"/>
      <w:bookmarkStart w:id="63" w:name="_Toc11452"/>
      <w:r>
        <w:rPr>
          <w:rFonts w:hint="eastAsia" w:ascii="宋体" w:hAnsi="宋体" w:cs="宋体"/>
          <w:color w:val="auto"/>
          <w:sz w:val="24"/>
          <w:highlight w:val="none"/>
        </w:rPr>
        <w:t>22.3采购人不得向中标人提出任何不合理的要求作为签订合同的条件。</w:t>
      </w:r>
      <w:bookmarkEnd w:id="62"/>
      <w:bookmarkEnd w:id="63"/>
    </w:p>
    <w:p>
      <w:pPr>
        <w:spacing w:line="360" w:lineRule="auto"/>
        <w:ind w:firstLine="482" w:firstLineChars="200"/>
        <w:outlineLvl w:val="0"/>
        <w:rPr>
          <w:rFonts w:ascii="宋体" w:hAnsi="宋体" w:cs="宋体"/>
          <w:b/>
          <w:bCs/>
          <w:color w:val="auto"/>
          <w:sz w:val="24"/>
          <w:highlight w:val="none"/>
        </w:rPr>
      </w:pPr>
      <w:bookmarkStart w:id="64" w:name="_Toc1219"/>
      <w:bookmarkStart w:id="65" w:name="_Toc19032"/>
      <w:r>
        <w:rPr>
          <w:rFonts w:hint="eastAsia" w:ascii="宋体" w:hAnsi="宋体" w:cs="宋体"/>
          <w:b/>
          <w:bCs/>
          <w:color w:val="auto"/>
          <w:sz w:val="24"/>
          <w:highlight w:val="none"/>
        </w:rPr>
        <w:t>23、保密和披露</w:t>
      </w:r>
      <w:bookmarkEnd w:id="64"/>
      <w:bookmarkEnd w:id="65"/>
    </w:p>
    <w:p>
      <w:pPr>
        <w:spacing w:line="360" w:lineRule="auto"/>
        <w:ind w:firstLine="480" w:firstLineChars="200"/>
        <w:outlineLvl w:val="0"/>
        <w:rPr>
          <w:rFonts w:ascii="宋体" w:hAnsi="宋体" w:cs="宋体"/>
          <w:color w:val="auto"/>
          <w:sz w:val="24"/>
          <w:highlight w:val="none"/>
        </w:rPr>
      </w:pPr>
      <w:bookmarkStart w:id="66" w:name="_Toc26359"/>
      <w:bookmarkStart w:id="67" w:name="_Toc357"/>
      <w:r>
        <w:rPr>
          <w:rFonts w:hint="eastAsia" w:ascii="宋体" w:hAnsi="宋体" w:cs="宋体"/>
          <w:color w:val="auto"/>
          <w:sz w:val="24"/>
          <w:highlight w:val="none"/>
        </w:rPr>
        <w:t>23.1 投标人自购买招标文件之日起，须承诺承担本招标项目下的保密义务，不得将因本次招标获得的信息向第三人外传。</w:t>
      </w:r>
      <w:bookmarkEnd w:id="66"/>
      <w:bookmarkEnd w:id="67"/>
    </w:p>
    <w:p>
      <w:pPr>
        <w:spacing w:line="360" w:lineRule="auto"/>
        <w:ind w:firstLine="480" w:firstLineChars="200"/>
        <w:outlineLvl w:val="0"/>
        <w:rPr>
          <w:rFonts w:ascii="宋体" w:hAnsi="宋体" w:cs="宋体"/>
          <w:color w:val="auto"/>
          <w:sz w:val="24"/>
          <w:highlight w:val="none"/>
        </w:rPr>
      </w:pPr>
      <w:bookmarkStart w:id="68" w:name="_Toc23939"/>
      <w:bookmarkStart w:id="69" w:name="_Toc3893"/>
      <w:r>
        <w:rPr>
          <w:rFonts w:hint="eastAsia" w:ascii="宋体" w:hAnsi="宋体" w:cs="宋体"/>
          <w:color w:val="auto"/>
          <w:sz w:val="24"/>
          <w:highlight w:val="none"/>
        </w:rPr>
        <w:t>23.2 采购人有权将投标人提供的所有资料向其他政府部门或有关的非政府机构负责评审标书的人员或与评标有关的人员披露。</w:t>
      </w:r>
      <w:bookmarkEnd w:id="68"/>
      <w:bookmarkEnd w:id="69"/>
    </w:p>
    <w:p>
      <w:pPr>
        <w:spacing w:line="360" w:lineRule="auto"/>
        <w:ind w:firstLine="480" w:firstLineChars="200"/>
        <w:outlineLvl w:val="0"/>
        <w:rPr>
          <w:rFonts w:ascii="宋体" w:hAnsi="宋体" w:cs="宋体"/>
          <w:color w:val="auto"/>
          <w:sz w:val="24"/>
          <w:highlight w:val="none"/>
        </w:rPr>
      </w:pPr>
      <w:bookmarkStart w:id="70" w:name="_Toc16607"/>
      <w:bookmarkStart w:id="71" w:name="_Toc24524"/>
      <w:r>
        <w:rPr>
          <w:rFonts w:hint="eastAsia" w:ascii="宋体" w:hAnsi="宋体" w:cs="宋体"/>
          <w:color w:val="auto"/>
          <w:sz w:val="24"/>
          <w:highlight w:val="none"/>
        </w:rPr>
        <w:t>23.3 在下列情形下：当发布中标公告和其它公告时，当国家机关调查、审查、审计时，以及在其他符合法律规定的情形下，采购人无须事先征求投标人/中标人同意而可以披露关于采购过程、投标文件、合同文本、合同签署情况的资料、投标人/中标人的名称及地址、采购内容的有关信息以及补充条款等，并且对任何已经公布过的内容或与之内容相同的资料无须再承担保密责任。</w:t>
      </w:r>
      <w:bookmarkEnd w:id="70"/>
      <w:bookmarkEnd w:id="71"/>
    </w:p>
    <w:p>
      <w:pPr>
        <w:spacing w:line="360" w:lineRule="auto"/>
        <w:ind w:firstLine="482" w:firstLineChars="200"/>
        <w:outlineLvl w:val="0"/>
        <w:rPr>
          <w:rFonts w:ascii="宋体" w:hAnsi="宋体" w:cs="宋体"/>
          <w:b/>
          <w:bCs/>
          <w:color w:val="auto"/>
          <w:sz w:val="24"/>
          <w:highlight w:val="none"/>
        </w:rPr>
      </w:pPr>
      <w:bookmarkStart w:id="72" w:name="_Toc10210"/>
      <w:bookmarkStart w:id="73" w:name="_Toc1461"/>
      <w:r>
        <w:rPr>
          <w:rFonts w:hint="eastAsia" w:ascii="宋体" w:hAnsi="宋体" w:cs="宋体"/>
          <w:b/>
          <w:bCs/>
          <w:color w:val="auto"/>
          <w:sz w:val="24"/>
          <w:highlight w:val="none"/>
        </w:rPr>
        <w:t>24、质疑和投诉</w:t>
      </w:r>
      <w:bookmarkEnd w:id="72"/>
      <w:bookmarkEnd w:id="73"/>
    </w:p>
    <w:p>
      <w:pPr>
        <w:spacing w:line="360" w:lineRule="auto"/>
        <w:ind w:firstLine="480" w:firstLineChars="200"/>
        <w:outlineLvl w:val="0"/>
        <w:rPr>
          <w:rFonts w:ascii="宋体" w:hAnsi="宋体" w:cs="宋体"/>
          <w:color w:val="auto"/>
          <w:sz w:val="24"/>
          <w:highlight w:val="none"/>
        </w:rPr>
      </w:pPr>
      <w:bookmarkStart w:id="74" w:name="_Toc19782"/>
      <w:bookmarkStart w:id="75" w:name="_Toc31649"/>
      <w:r>
        <w:rPr>
          <w:rFonts w:hint="eastAsia" w:ascii="宋体" w:hAnsi="宋体" w:cs="宋体"/>
          <w:color w:val="auto"/>
          <w:sz w:val="24"/>
          <w:highlight w:val="none"/>
        </w:rPr>
        <w:t>24.1投标人认为招标文件、招标过程和中标结果使自己的合法权益受到损害的，应当在知道或者应知其权益受到损害之日起七个工作日内以书面形式（须加盖公章）{质疑书的具体内容详见《政府采购质疑和投诉办法》（第94号令）}通知采购代理机构向招标方提出质疑（如投标人所参与项目须要在网上提交质疑程序，供应商须将纸质版质疑材料与网上提交质疑程序在同一工作日内进行，如出现日期不一致时，以两者中最后日期为准）。供应商应在法定质疑期内一次性提出针对同一采购程序环节的质疑。（质疑联系人及联系方式：</w:t>
      </w:r>
      <w:r>
        <w:rPr>
          <w:rFonts w:hint="eastAsia" w:ascii="宋体" w:hAnsi="宋体" w:cs="宋体"/>
          <w:color w:val="auto"/>
          <w:sz w:val="24"/>
          <w:highlight w:val="none"/>
          <w:lang w:val="en-US" w:eastAsia="zh-CN"/>
        </w:rPr>
        <w:t>17767728616/ 18686601880</w:t>
      </w:r>
      <w:r>
        <w:rPr>
          <w:rFonts w:hint="eastAsia" w:ascii="宋体" w:hAnsi="宋体" w:cs="宋体"/>
          <w:color w:val="auto"/>
          <w:sz w:val="24"/>
          <w:highlight w:val="none"/>
        </w:rPr>
        <w:t>）投标人对采购人的质疑答复不满意或者采购人未在规定时间内作出答复的，可以在答复期满后十五个工作日内向同级采购监管部门投诉。</w:t>
      </w:r>
      <w:bookmarkEnd w:id="74"/>
      <w:bookmarkEnd w:id="75"/>
    </w:p>
    <w:p>
      <w:pPr>
        <w:spacing w:line="360" w:lineRule="auto"/>
        <w:ind w:firstLine="480" w:firstLineChars="200"/>
        <w:outlineLvl w:val="0"/>
        <w:rPr>
          <w:rFonts w:ascii="宋体" w:hAnsi="宋体" w:cs="宋体"/>
          <w:color w:val="auto"/>
          <w:sz w:val="24"/>
          <w:highlight w:val="none"/>
        </w:rPr>
      </w:pPr>
      <w:bookmarkStart w:id="76" w:name="_Toc22806"/>
      <w:bookmarkStart w:id="77" w:name="_Toc8833"/>
      <w:r>
        <w:rPr>
          <w:rFonts w:hint="eastAsia" w:ascii="宋体" w:hAnsi="宋体" w:cs="宋体"/>
          <w:color w:val="auto"/>
          <w:sz w:val="24"/>
          <w:highlight w:val="none"/>
        </w:rPr>
        <w:t>24.2质疑书、投诉书均应明确阐述招标文件、招标过程和中标结果中使自己合法权益受到损害的实质性内容，提供相关事实、依据和证据及其来源或线索，便于有关单位调查、答复和处理。</w:t>
      </w:r>
      <w:bookmarkEnd w:id="76"/>
      <w:bookmarkEnd w:id="77"/>
    </w:p>
    <w:p>
      <w:pPr>
        <w:numPr>
          <w:ilvl w:val="0"/>
          <w:numId w:val="3"/>
        </w:num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中标服务费</w:t>
      </w:r>
    </w:p>
    <w:p>
      <w:pPr>
        <w:widowControl/>
        <w:wordWrap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25.1中标人须向采购代理机构足额缴纳中标服务费，执行《国家发展改革委关于进一步放开建设项目专业服务价格的通知》（发改价格〔2015〕299号），参照国家发展计划委员会计价价格[2002]1980号文件和《国家发改委办公厅关于招标代理服务费收费有关问题的通知》（发改办价格[2003]857号）计取，向中标人收取招标代理服务费。本项目按折扣比例0.6收取。</w:t>
      </w:r>
    </w:p>
    <w:p>
      <w:pPr>
        <w:numPr>
          <w:ilvl w:val="0"/>
          <w:numId w:val="3"/>
        </w:numPr>
        <w:spacing w:line="360" w:lineRule="auto"/>
        <w:ind w:firstLine="482" w:firstLineChars="200"/>
        <w:rPr>
          <w:color w:val="auto"/>
          <w:highlight w:val="none"/>
        </w:rPr>
      </w:pPr>
      <w:r>
        <w:rPr>
          <w:rFonts w:hint="eastAsia" w:ascii="宋体" w:hAnsi="宋体" w:cs="宋体"/>
          <w:b/>
          <w:color w:val="auto"/>
          <w:sz w:val="24"/>
          <w:highlight w:val="none"/>
          <w:lang w:val="en-US" w:eastAsia="zh-CN"/>
        </w:rPr>
        <w:t>其他要求</w:t>
      </w:r>
      <w:r>
        <w:rPr>
          <w:rFonts w:hint="eastAsia" w:ascii="宋体" w:hAnsi="宋体" w:cs="宋体"/>
          <w:b/>
          <w:color w:val="auto"/>
          <w:sz w:val="24"/>
          <w:highlight w:val="none"/>
          <w:lang w:eastAsia="zh-CN"/>
        </w:rPr>
        <w:t>：</w:t>
      </w:r>
      <w:r>
        <w:rPr>
          <w:rFonts w:hint="eastAsia" w:ascii="宋体" w:hAnsi="宋体" w:eastAsia="宋体" w:cs="宋体"/>
          <w:color w:val="auto"/>
          <w:kern w:val="2"/>
          <w:sz w:val="24"/>
          <w:szCs w:val="24"/>
          <w:highlight w:val="none"/>
          <w:lang w:val="en-US" w:eastAsia="zh-CN" w:bidi="ar-SA"/>
        </w:rPr>
        <w:t>详见投标人须知前附表。</w:t>
      </w:r>
    </w:p>
    <w:p>
      <w:pPr>
        <w:rPr>
          <w:color w:val="auto"/>
          <w:highlight w:val="none"/>
        </w:rPr>
      </w:pPr>
      <w:r>
        <w:rPr>
          <w:color w:val="auto"/>
          <w:highlight w:val="none"/>
        </w:rPr>
        <w:br w:type="page"/>
      </w:r>
    </w:p>
    <w:p>
      <w:pPr>
        <w:pStyle w:val="9"/>
        <w:rPr>
          <w:color w:val="auto"/>
          <w:highlight w:val="none"/>
        </w:rPr>
      </w:pPr>
    </w:p>
    <w:p>
      <w:pPr>
        <w:pStyle w:val="3"/>
        <w:bidi w:val="0"/>
        <w:spacing w:line="240" w:lineRule="auto"/>
        <w:jc w:val="center"/>
        <w:rPr>
          <w:color w:val="auto"/>
          <w:highlight w:val="none"/>
        </w:rPr>
      </w:pPr>
      <w:bookmarkStart w:id="78" w:name="_Toc5258"/>
      <w:r>
        <w:rPr>
          <w:rFonts w:hint="eastAsia"/>
          <w:color w:val="auto"/>
          <w:highlight w:val="none"/>
        </w:rPr>
        <w:t>第三章评标办法</w:t>
      </w:r>
      <w:bookmarkEnd w:id="78"/>
    </w:p>
    <w:p>
      <w:pPr>
        <w:spacing w:line="240" w:lineRule="auto"/>
        <w:rPr>
          <w:rFonts w:ascii="宋体" w:hAnsi="宋体" w:cs="宋体"/>
          <w:color w:val="auto"/>
          <w:sz w:val="24"/>
          <w:highlight w:val="none"/>
        </w:rPr>
      </w:pPr>
      <w:r>
        <w:rPr>
          <w:rFonts w:hint="eastAsia" w:ascii="宋体" w:hAnsi="宋体" w:cs="宋体"/>
          <w:color w:val="auto"/>
          <w:sz w:val="24"/>
          <w:highlight w:val="none"/>
        </w:rPr>
        <w:t>评标应当遵循下列工作程序：</w:t>
      </w:r>
    </w:p>
    <w:p>
      <w:pPr>
        <w:spacing w:line="360" w:lineRule="auto"/>
        <w:rPr>
          <w:rFonts w:ascii="宋体" w:hAnsi="宋体" w:cs="宋体"/>
          <w:b/>
          <w:bCs/>
          <w:color w:val="auto"/>
          <w:sz w:val="24"/>
          <w:highlight w:val="none"/>
        </w:rPr>
      </w:pPr>
      <w:r>
        <w:rPr>
          <w:rFonts w:hint="eastAsia" w:ascii="宋体" w:hAnsi="宋体" w:cs="宋体"/>
          <w:b/>
          <w:bCs/>
          <w:color w:val="auto"/>
          <w:sz w:val="24"/>
          <w:highlight w:val="none"/>
        </w:rPr>
        <w:t>3.1符合性审查。</w:t>
      </w:r>
    </w:p>
    <w:p>
      <w:pPr>
        <w:pStyle w:val="19"/>
        <w:spacing w:beforeAutospacing="0" w:afterAutospacing="0" w:line="360" w:lineRule="auto"/>
        <w:jc w:val="both"/>
        <w:rPr>
          <w:color w:val="auto"/>
          <w:kern w:val="2"/>
          <w:highlight w:val="none"/>
        </w:rPr>
      </w:pPr>
      <w:r>
        <w:rPr>
          <w:rFonts w:hint="eastAsia"/>
          <w:color w:val="auto"/>
          <w:kern w:val="2"/>
          <w:highlight w:val="none"/>
        </w:rPr>
        <w:t>3.1.1 评标委员会将对符合资格的投标人的投标文件进行符合性审查，以确定其是否满足招标文件的实质性要求。</w:t>
      </w:r>
    </w:p>
    <w:p>
      <w:pPr>
        <w:pStyle w:val="19"/>
        <w:spacing w:beforeAutospacing="0" w:afterAutospacing="0" w:line="360" w:lineRule="auto"/>
        <w:jc w:val="center"/>
        <w:rPr>
          <w:color w:val="auto"/>
          <w:highlight w:val="none"/>
        </w:rPr>
      </w:pPr>
      <w:r>
        <w:rPr>
          <w:rFonts w:hint="eastAsia"/>
          <w:color w:val="auto"/>
          <w:kern w:val="2"/>
          <w:highlight w:val="none"/>
        </w:rPr>
        <w:t>符合性审查表</w:t>
      </w:r>
    </w:p>
    <w:tbl>
      <w:tblPr>
        <w:tblStyle w:val="22"/>
        <w:tblW w:w="0" w:type="auto"/>
        <w:jc w:val="center"/>
        <w:tblLayout w:type="fixed"/>
        <w:tblCellMar>
          <w:top w:w="0" w:type="dxa"/>
          <w:left w:w="108" w:type="dxa"/>
          <w:bottom w:w="0" w:type="dxa"/>
          <w:right w:w="108" w:type="dxa"/>
        </w:tblCellMar>
      </w:tblPr>
      <w:tblGrid>
        <w:gridCol w:w="1072"/>
        <w:gridCol w:w="6052"/>
        <w:gridCol w:w="1961"/>
      </w:tblGrid>
      <w:tr>
        <w:tblPrEx>
          <w:tblCellMar>
            <w:top w:w="0" w:type="dxa"/>
            <w:left w:w="108" w:type="dxa"/>
            <w:bottom w:w="0" w:type="dxa"/>
            <w:right w:w="108" w:type="dxa"/>
          </w:tblCellMar>
        </w:tblPrEx>
        <w:trPr>
          <w:trHeight w:val="397" w:hRule="atLeast"/>
          <w:jc w:val="center"/>
        </w:trPr>
        <w:tc>
          <w:tcPr>
            <w:tcW w:w="7124" w:type="dxa"/>
            <w:gridSpan w:val="2"/>
            <w:vMerge w:val="restart"/>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360" w:lineRule="exact"/>
              <w:ind w:right="-34"/>
              <w:jc w:val="center"/>
              <w:textAlignment w:val="bottom"/>
              <w:rPr>
                <w:rFonts w:ascii="宋体" w:hAnsi="宋体" w:cs="宋体"/>
                <w:color w:val="auto"/>
                <w:sz w:val="24"/>
                <w:highlight w:val="none"/>
              </w:rPr>
            </w:pPr>
            <w:r>
              <w:rPr>
                <w:rFonts w:hint="eastAsia" w:ascii="宋体" w:hAnsi="宋体" w:cs="宋体"/>
                <w:color w:val="auto"/>
                <w:sz w:val="24"/>
                <w:highlight w:val="none"/>
              </w:rPr>
              <w:t>审查内容</w:t>
            </w:r>
          </w:p>
        </w:tc>
        <w:tc>
          <w:tcPr>
            <w:tcW w:w="1961" w:type="dxa"/>
            <w:tcBorders>
              <w:top w:val="single" w:color="auto" w:sz="6" w:space="0"/>
              <w:left w:val="single" w:color="auto" w:sz="6" w:space="0"/>
              <w:bottom w:val="single" w:color="auto" w:sz="6" w:space="0"/>
              <w:right w:val="single" w:color="auto" w:sz="4" w:space="0"/>
            </w:tcBorders>
            <w:vAlign w:val="center"/>
          </w:tcPr>
          <w:p>
            <w:pPr>
              <w:widowControl/>
              <w:autoSpaceDE w:val="0"/>
              <w:autoSpaceDN w:val="0"/>
              <w:spacing w:line="360" w:lineRule="exact"/>
              <w:ind w:left="600" w:right="-34" w:hanging="600" w:hangingChars="250"/>
              <w:jc w:val="center"/>
              <w:textAlignment w:val="bottom"/>
              <w:rPr>
                <w:rFonts w:ascii="宋体" w:hAnsi="宋体" w:cs="宋体"/>
                <w:color w:val="auto"/>
                <w:sz w:val="24"/>
                <w:highlight w:val="none"/>
              </w:rPr>
            </w:pPr>
            <w:r>
              <w:rPr>
                <w:rFonts w:hint="eastAsia" w:ascii="宋体" w:hAnsi="宋体" w:cs="宋体"/>
                <w:color w:val="auto"/>
                <w:sz w:val="24"/>
                <w:highlight w:val="none"/>
              </w:rPr>
              <w:t>投标人</w:t>
            </w:r>
          </w:p>
        </w:tc>
      </w:tr>
      <w:tr>
        <w:tblPrEx>
          <w:tblCellMar>
            <w:top w:w="0" w:type="dxa"/>
            <w:left w:w="108" w:type="dxa"/>
            <w:bottom w:w="0" w:type="dxa"/>
            <w:right w:w="108" w:type="dxa"/>
          </w:tblCellMar>
        </w:tblPrEx>
        <w:trPr>
          <w:trHeight w:val="397" w:hRule="atLeast"/>
          <w:jc w:val="center"/>
        </w:trPr>
        <w:tc>
          <w:tcPr>
            <w:tcW w:w="7124" w:type="dxa"/>
            <w:gridSpan w:val="2"/>
            <w:vMerge w:val="continue"/>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360" w:lineRule="exact"/>
              <w:ind w:left="600" w:right="-34" w:hanging="600" w:hangingChars="250"/>
              <w:jc w:val="center"/>
              <w:textAlignment w:val="bottom"/>
              <w:rPr>
                <w:rFonts w:ascii="宋体" w:hAnsi="宋体" w:cs="宋体"/>
                <w:color w:val="auto"/>
                <w:sz w:val="24"/>
                <w:highlight w:val="none"/>
              </w:rPr>
            </w:pPr>
          </w:p>
        </w:tc>
        <w:tc>
          <w:tcPr>
            <w:tcW w:w="1961" w:type="dxa"/>
            <w:tcBorders>
              <w:top w:val="single" w:color="auto" w:sz="6" w:space="0"/>
              <w:left w:val="single" w:color="auto" w:sz="6" w:space="0"/>
              <w:bottom w:val="single" w:color="auto" w:sz="6" w:space="0"/>
              <w:right w:val="single" w:color="auto" w:sz="4" w:space="0"/>
            </w:tcBorders>
          </w:tcPr>
          <w:p>
            <w:pPr>
              <w:widowControl/>
              <w:autoSpaceDE w:val="0"/>
              <w:autoSpaceDN w:val="0"/>
              <w:spacing w:line="360" w:lineRule="exact"/>
              <w:ind w:right="-34"/>
              <w:jc w:val="center"/>
              <w:textAlignment w:val="bottom"/>
              <w:rPr>
                <w:rFonts w:ascii="宋体" w:hAnsi="宋体" w:cs="宋体"/>
                <w:color w:val="auto"/>
                <w:sz w:val="24"/>
                <w:highlight w:val="none"/>
              </w:rPr>
            </w:pPr>
          </w:p>
        </w:tc>
      </w:tr>
      <w:tr>
        <w:tblPrEx>
          <w:tblCellMar>
            <w:top w:w="0" w:type="dxa"/>
            <w:left w:w="108" w:type="dxa"/>
            <w:bottom w:w="0" w:type="dxa"/>
            <w:right w:w="108" w:type="dxa"/>
          </w:tblCellMar>
        </w:tblPrEx>
        <w:trPr>
          <w:trHeight w:val="397" w:hRule="atLeast"/>
          <w:jc w:val="center"/>
        </w:trPr>
        <w:tc>
          <w:tcPr>
            <w:tcW w:w="1072" w:type="dxa"/>
            <w:vMerge w:val="restart"/>
            <w:tcBorders>
              <w:top w:val="single" w:color="auto" w:sz="6" w:space="0"/>
              <w:left w:val="single" w:color="auto" w:sz="6" w:space="0"/>
              <w:right w:val="single" w:color="auto" w:sz="4" w:space="0"/>
            </w:tcBorders>
            <w:vAlign w:val="center"/>
          </w:tcPr>
          <w:p>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符合性审查</w:t>
            </w:r>
          </w:p>
        </w:tc>
        <w:tc>
          <w:tcPr>
            <w:tcW w:w="6052" w:type="dxa"/>
            <w:tcBorders>
              <w:top w:val="single" w:color="auto" w:sz="6" w:space="0"/>
              <w:left w:val="single" w:color="auto" w:sz="4" w:space="0"/>
              <w:right w:val="single" w:color="auto" w:sz="6" w:space="0"/>
            </w:tcBorders>
            <w:vAlign w:val="center"/>
          </w:tcPr>
          <w:p>
            <w:pPr>
              <w:spacing w:line="360" w:lineRule="exact"/>
              <w:jc w:val="left"/>
              <w:rPr>
                <w:rFonts w:ascii="宋体" w:hAnsi="宋体" w:cs="宋体"/>
                <w:color w:val="auto"/>
                <w:sz w:val="24"/>
                <w:highlight w:val="none"/>
              </w:rPr>
            </w:pPr>
            <w:r>
              <w:rPr>
                <w:rFonts w:hint="eastAsia" w:ascii="宋体" w:hAnsi="宋体" w:cs="宋体"/>
                <w:color w:val="auto"/>
                <w:sz w:val="24"/>
                <w:highlight w:val="none"/>
              </w:rPr>
              <w:t>1）投标报价未超出采购预算及产品分项控制价。</w:t>
            </w:r>
          </w:p>
        </w:tc>
        <w:tc>
          <w:tcPr>
            <w:tcW w:w="1961" w:type="dxa"/>
            <w:tcBorders>
              <w:top w:val="single" w:color="auto" w:sz="6" w:space="0"/>
              <w:left w:val="single" w:color="auto" w:sz="6" w:space="0"/>
              <w:right w:val="single" w:color="auto" w:sz="4" w:space="0"/>
            </w:tcBorders>
            <w:vAlign w:val="center"/>
          </w:tcPr>
          <w:p>
            <w:pPr>
              <w:widowControl/>
              <w:autoSpaceDE w:val="0"/>
              <w:autoSpaceDN w:val="0"/>
              <w:spacing w:line="360" w:lineRule="exact"/>
              <w:ind w:left="600" w:right="-34" w:hanging="600" w:hangingChars="250"/>
              <w:jc w:val="center"/>
              <w:textAlignment w:val="bottom"/>
              <w:rPr>
                <w:rFonts w:ascii="宋体" w:hAnsi="宋体" w:cs="宋体"/>
                <w:color w:val="auto"/>
                <w:sz w:val="24"/>
                <w:highlight w:val="none"/>
              </w:rPr>
            </w:pPr>
          </w:p>
        </w:tc>
      </w:tr>
      <w:tr>
        <w:tblPrEx>
          <w:tblCellMar>
            <w:top w:w="0" w:type="dxa"/>
            <w:left w:w="108" w:type="dxa"/>
            <w:bottom w:w="0" w:type="dxa"/>
            <w:right w:w="108" w:type="dxa"/>
          </w:tblCellMar>
        </w:tblPrEx>
        <w:trPr>
          <w:trHeight w:val="397" w:hRule="atLeast"/>
          <w:jc w:val="center"/>
        </w:trPr>
        <w:tc>
          <w:tcPr>
            <w:tcW w:w="1072" w:type="dxa"/>
            <w:vMerge w:val="continue"/>
            <w:tcBorders>
              <w:left w:val="single" w:color="auto" w:sz="6" w:space="0"/>
              <w:right w:val="single" w:color="auto" w:sz="4" w:space="0"/>
            </w:tcBorders>
            <w:vAlign w:val="center"/>
          </w:tcPr>
          <w:p>
            <w:pPr>
              <w:spacing w:line="360" w:lineRule="exact"/>
              <w:jc w:val="center"/>
              <w:rPr>
                <w:rFonts w:ascii="宋体" w:hAnsi="宋体" w:cs="宋体"/>
                <w:color w:val="auto"/>
                <w:sz w:val="24"/>
                <w:highlight w:val="none"/>
              </w:rPr>
            </w:pPr>
          </w:p>
        </w:tc>
        <w:tc>
          <w:tcPr>
            <w:tcW w:w="6052" w:type="dxa"/>
            <w:tcBorders>
              <w:top w:val="single" w:color="auto" w:sz="6" w:space="0"/>
              <w:left w:val="single" w:color="auto" w:sz="4" w:space="0"/>
              <w:right w:val="single" w:color="auto" w:sz="6" w:space="0"/>
            </w:tcBorders>
            <w:vAlign w:val="center"/>
          </w:tcPr>
          <w:p>
            <w:pPr>
              <w:spacing w:line="360" w:lineRule="exact"/>
              <w:jc w:val="left"/>
              <w:rPr>
                <w:rFonts w:ascii="宋体" w:hAnsi="宋体" w:cs="宋体"/>
                <w:color w:val="auto"/>
                <w:sz w:val="24"/>
                <w:highlight w:val="none"/>
              </w:rPr>
            </w:pPr>
            <w:r>
              <w:rPr>
                <w:rFonts w:hint="eastAsia" w:ascii="宋体" w:hAnsi="宋体" w:cs="宋体"/>
                <w:color w:val="auto"/>
                <w:sz w:val="24"/>
                <w:highlight w:val="none"/>
              </w:rPr>
              <w:t>2）投标文件的有效性、完整性满足招标文件要求。</w:t>
            </w:r>
          </w:p>
        </w:tc>
        <w:tc>
          <w:tcPr>
            <w:tcW w:w="1961" w:type="dxa"/>
            <w:tcBorders>
              <w:top w:val="single" w:color="auto" w:sz="6" w:space="0"/>
              <w:left w:val="single" w:color="auto" w:sz="6" w:space="0"/>
              <w:right w:val="single" w:color="auto" w:sz="4" w:space="0"/>
            </w:tcBorders>
            <w:vAlign w:val="center"/>
          </w:tcPr>
          <w:p>
            <w:pPr>
              <w:widowControl/>
              <w:autoSpaceDE w:val="0"/>
              <w:autoSpaceDN w:val="0"/>
              <w:spacing w:line="360" w:lineRule="exact"/>
              <w:ind w:left="600" w:right="-34" w:hanging="600" w:hangingChars="250"/>
              <w:jc w:val="center"/>
              <w:textAlignment w:val="bottom"/>
              <w:rPr>
                <w:rFonts w:ascii="宋体" w:hAnsi="宋体" w:cs="宋体"/>
                <w:color w:val="auto"/>
                <w:sz w:val="24"/>
                <w:highlight w:val="none"/>
              </w:rPr>
            </w:pPr>
          </w:p>
        </w:tc>
      </w:tr>
      <w:tr>
        <w:tblPrEx>
          <w:tblCellMar>
            <w:top w:w="0" w:type="dxa"/>
            <w:left w:w="108" w:type="dxa"/>
            <w:bottom w:w="0" w:type="dxa"/>
            <w:right w:w="108" w:type="dxa"/>
          </w:tblCellMar>
        </w:tblPrEx>
        <w:trPr>
          <w:trHeight w:val="397" w:hRule="atLeast"/>
          <w:jc w:val="center"/>
        </w:trPr>
        <w:tc>
          <w:tcPr>
            <w:tcW w:w="1072" w:type="dxa"/>
            <w:vMerge w:val="continue"/>
            <w:tcBorders>
              <w:left w:val="single" w:color="auto" w:sz="6" w:space="0"/>
              <w:right w:val="single" w:color="auto" w:sz="4" w:space="0"/>
            </w:tcBorders>
            <w:vAlign w:val="center"/>
          </w:tcPr>
          <w:p>
            <w:pPr>
              <w:spacing w:line="360" w:lineRule="exact"/>
              <w:ind w:firstLine="482"/>
              <w:jc w:val="center"/>
              <w:rPr>
                <w:rFonts w:ascii="宋体" w:hAnsi="宋体" w:cs="宋体"/>
                <w:color w:val="auto"/>
                <w:sz w:val="24"/>
                <w:highlight w:val="none"/>
              </w:rPr>
            </w:pPr>
          </w:p>
        </w:tc>
        <w:tc>
          <w:tcPr>
            <w:tcW w:w="6052" w:type="dxa"/>
            <w:tcBorders>
              <w:top w:val="single" w:color="auto" w:sz="6" w:space="0"/>
              <w:left w:val="single" w:color="auto" w:sz="4" w:space="0"/>
              <w:bottom w:val="single" w:color="auto" w:sz="6" w:space="0"/>
              <w:right w:val="single" w:color="auto" w:sz="6" w:space="0"/>
            </w:tcBorders>
            <w:vAlign w:val="center"/>
          </w:tcPr>
          <w:p>
            <w:pPr>
              <w:numPr>
                <w:ilvl w:val="0"/>
                <w:numId w:val="4"/>
              </w:numPr>
              <w:spacing w:line="360" w:lineRule="exact"/>
              <w:jc w:val="left"/>
              <w:rPr>
                <w:rFonts w:hint="eastAsia" w:ascii="宋体" w:hAnsi="宋体" w:eastAsia="宋体" w:cs="宋体"/>
                <w:b w:val="0"/>
                <w:bCs w:val="0"/>
                <w:color w:val="auto"/>
                <w:sz w:val="24"/>
                <w:highlight w:val="none"/>
              </w:rPr>
            </w:pPr>
            <w:r>
              <w:rPr>
                <w:rFonts w:hint="eastAsia" w:ascii="宋体" w:hAnsi="宋体" w:cs="宋体"/>
                <w:color w:val="auto"/>
                <w:sz w:val="24"/>
                <w:highlight w:val="none"/>
              </w:rPr>
              <w:t>按招标文件要求的</w:t>
            </w:r>
            <w:r>
              <w:rPr>
                <w:rFonts w:hint="eastAsia" w:ascii="宋体" w:hAnsi="宋体" w:cs="宋体"/>
                <w:color w:val="auto"/>
                <w:sz w:val="24"/>
                <w:highlight w:val="none"/>
                <w:lang w:val="en-US" w:eastAsia="zh-CN"/>
              </w:rPr>
              <w:t>对</w:t>
            </w:r>
            <w:r>
              <w:rPr>
                <w:rFonts w:hint="eastAsia" w:ascii="宋体" w:hAnsi="宋体" w:cs="宋体"/>
                <w:color w:val="auto"/>
                <w:sz w:val="24"/>
                <w:highlight w:val="none"/>
              </w:rPr>
              <w:t>商务和技术需求进行应答，投标人须如实根据所投产品信息填写“技术规格偏离表、商务条款偏离表”</w:t>
            </w:r>
            <w:r>
              <w:rPr>
                <w:rFonts w:hint="eastAsia" w:ascii="宋体" w:hAnsi="宋体" w:eastAsia="宋体" w:cs="宋体"/>
                <w:b/>
                <w:bCs/>
                <w:color w:val="auto"/>
                <w:sz w:val="24"/>
                <w:highlight w:val="none"/>
              </w:rPr>
              <w:t>(注：如有虚假</w:t>
            </w:r>
            <w:r>
              <w:rPr>
                <w:rFonts w:hint="eastAsia" w:ascii="宋体" w:hAnsi="宋体" w:cs="宋体"/>
                <w:b/>
                <w:bCs/>
                <w:color w:val="auto"/>
                <w:sz w:val="24"/>
                <w:highlight w:val="none"/>
                <w:lang w:eastAsia="zh-CN"/>
              </w:rPr>
              <w:t>，</w:t>
            </w:r>
            <w:r>
              <w:rPr>
                <w:rFonts w:hint="eastAsia" w:ascii="宋体" w:hAnsi="宋体" w:eastAsia="宋体" w:cs="宋体"/>
                <w:b/>
                <w:bCs/>
                <w:color w:val="auto"/>
                <w:sz w:val="24"/>
                <w:highlight w:val="none"/>
              </w:rPr>
              <w:t>采购人及评标委员会有权追求其法律责任</w:t>
            </w:r>
            <w:r>
              <w:rPr>
                <w:rFonts w:hint="eastAsia" w:ascii="宋体" w:hAnsi="宋体" w:eastAsia="宋体" w:cs="宋体"/>
                <w:b w:val="0"/>
                <w:bCs w:val="0"/>
                <w:color w:val="auto"/>
                <w:sz w:val="24"/>
                <w:highlight w:val="none"/>
              </w:rPr>
              <w:t>)</w:t>
            </w:r>
          </w:p>
          <w:p>
            <w:pPr>
              <w:numPr>
                <w:ilvl w:val="0"/>
                <w:numId w:val="0"/>
              </w:numPr>
              <w:spacing w:line="36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*代表最关键指标，不满足该指标项将导致投标被拒绝；</w:t>
            </w:r>
          </w:p>
          <w:p>
            <w:pPr>
              <w:numPr>
                <w:ilvl w:val="0"/>
                <w:numId w:val="0"/>
              </w:numPr>
              <w:spacing w:line="360" w:lineRule="exact"/>
              <w:ind w:left="0" w:leftChars="0" w:firstLine="0" w:firstLineChars="0"/>
              <w:jc w:val="left"/>
              <w:rPr>
                <w:rFonts w:hint="eastAsia" w:ascii="宋体" w:hAnsi="宋体" w:cs="宋体"/>
                <w:b/>
                <w:bCs/>
                <w:color w:val="auto"/>
                <w:sz w:val="24"/>
                <w:highlight w:val="none"/>
                <w:lang w:eastAsia="zh-CN"/>
              </w:rPr>
            </w:pPr>
            <w:r>
              <w:rPr>
                <w:rFonts w:hint="eastAsia" w:ascii="宋体" w:hAnsi="宋体" w:cs="宋体"/>
                <w:b/>
                <w:bCs/>
                <w:color w:val="auto"/>
                <w:sz w:val="24"/>
                <w:highlight w:val="none"/>
                <w:lang w:eastAsia="zh-CN"/>
              </w:rPr>
              <w:t>技术指标</w:t>
            </w:r>
          </w:p>
          <w:p>
            <w:pPr>
              <w:numPr>
                <w:ilvl w:val="0"/>
                <w:numId w:val="0"/>
              </w:numPr>
              <w:spacing w:line="360" w:lineRule="exact"/>
              <w:ind w:left="0" w:leftChars="0" w:firstLine="0" w:firstLineChars="0"/>
              <w:jc w:val="left"/>
              <w:rPr>
                <w:rFonts w:hint="eastAsia" w:ascii="宋体" w:hAnsi="宋体" w:cs="宋体"/>
                <w:b/>
                <w:bCs/>
                <w:color w:val="auto"/>
                <w:sz w:val="24"/>
                <w:highlight w:val="none"/>
                <w:lang w:eastAsia="zh-CN"/>
              </w:rPr>
            </w:pPr>
            <w:r>
              <w:rPr>
                <w:rFonts w:hint="eastAsia" w:ascii="宋体" w:hAnsi="宋体" w:cs="宋体"/>
                <w:b/>
                <w:bCs/>
                <w:color w:val="auto"/>
                <w:sz w:val="24"/>
                <w:highlight w:val="none"/>
              </w:rPr>
              <w:t>热成像空气呼吸器</w:t>
            </w:r>
            <w:r>
              <w:rPr>
                <w:rFonts w:hint="eastAsia" w:ascii="宋体" w:hAnsi="宋体" w:cs="宋体"/>
                <w:b/>
                <w:bCs/>
                <w:color w:val="auto"/>
                <w:sz w:val="24"/>
                <w:highlight w:val="none"/>
                <w:lang w:eastAsia="zh-CN"/>
              </w:rPr>
              <w:t>：</w:t>
            </w:r>
          </w:p>
          <w:p>
            <w:pPr>
              <w:numPr>
                <w:ilvl w:val="0"/>
                <w:numId w:val="0"/>
              </w:numPr>
              <w:spacing w:line="360" w:lineRule="exact"/>
              <w:ind w:left="0" w:leftChars="0" w:firstLine="0" w:firstLineChars="0"/>
              <w:jc w:val="left"/>
              <w:rPr>
                <w:rFonts w:hint="eastAsia" w:ascii="宋体" w:hAnsi="宋体" w:cs="宋体"/>
                <w:b/>
                <w:bCs/>
                <w:color w:val="auto"/>
                <w:sz w:val="24"/>
                <w:highlight w:val="none"/>
                <w:lang w:eastAsia="zh-CN"/>
              </w:rPr>
            </w:pPr>
            <w:r>
              <w:rPr>
                <w:rFonts w:hint="eastAsia" w:ascii="宋体" w:hAnsi="宋体" w:cs="宋体"/>
                <w:b/>
                <w:bCs/>
                <w:color w:val="auto"/>
                <w:sz w:val="24"/>
                <w:highlight w:val="none"/>
                <w:lang w:eastAsia="zh-CN"/>
              </w:rPr>
              <w:t>*提供说明书及操作手册</w:t>
            </w:r>
          </w:p>
          <w:p>
            <w:pPr>
              <w:numPr>
                <w:ilvl w:val="0"/>
                <w:numId w:val="0"/>
              </w:numPr>
              <w:spacing w:line="360" w:lineRule="exact"/>
              <w:ind w:left="0" w:leftChars="0" w:firstLine="0" w:firstLineChars="0"/>
              <w:jc w:val="left"/>
              <w:rPr>
                <w:rFonts w:hint="eastAsia" w:ascii="宋体" w:hAnsi="宋体" w:eastAsia="宋体" w:cs="宋体"/>
                <w:b/>
                <w:bCs/>
                <w:color w:val="auto"/>
                <w:sz w:val="24"/>
                <w:highlight w:val="none"/>
                <w:lang w:eastAsia="zh-CN"/>
              </w:rPr>
            </w:pPr>
            <w:r>
              <w:rPr>
                <w:rFonts w:hint="eastAsia" w:ascii="宋体" w:hAnsi="宋体" w:cs="宋体"/>
                <w:b/>
                <w:bCs/>
                <w:color w:val="auto"/>
                <w:sz w:val="24"/>
                <w:highlight w:val="none"/>
              </w:rPr>
              <w:t>氧气呼吸器</w:t>
            </w:r>
            <w:r>
              <w:rPr>
                <w:rFonts w:hint="eastAsia" w:ascii="宋体" w:hAnsi="宋体" w:cs="宋体"/>
                <w:b/>
                <w:bCs/>
                <w:color w:val="auto"/>
                <w:sz w:val="24"/>
                <w:highlight w:val="none"/>
                <w:lang w:eastAsia="zh-CN"/>
              </w:rPr>
              <w:t>：</w:t>
            </w:r>
          </w:p>
          <w:p>
            <w:pPr>
              <w:pStyle w:val="14"/>
              <w:spacing w:line="240" w:lineRule="auto"/>
              <w:rPr>
                <w:rFonts w:hint="default" w:eastAsia="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w:t>
            </w:r>
            <w:r>
              <w:rPr>
                <w:rFonts w:hint="eastAsia" w:ascii="宋体" w:hAnsi="宋体" w:eastAsia="宋体" w:cs="宋体"/>
                <w:b/>
                <w:bCs/>
                <w:color w:val="000000" w:themeColor="text1"/>
                <w:sz w:val="24"/>
                <w:szCs w:val="24"/>
                <w:lang w:val="en-US" w:eastAsia="zh-CN"/>
                <w14:textFill>
                  <w14:solidFill>
                    <w14:schemeClr w14:val="tx1"/>
                  </w14:solidFill>
                </w14:textFill>
              </w:rPr>
              <w:t>提供说明书及操作手册</w:t>
            </w:r>
          </w:p>
          <w:p>
            <w:pPr>
              <w:numPr>
                <w:ilvl w:val="0"/>
                <w:numId w:val="0"/>
              </w:numPr>
              <w:spacing w:line="360" w:lineRule="exact"/>
              <w:ind w:left="0" w:leftChars="0" w:firstLine="0" w:firstLineChars="0"/>
              <w:jc w:val="left"/>
              <w:rPr>
                <w:rFonts w:hint="eastAsia" w:ascii="宋体" w:hAnsi="宋体" w:cs="宋体"/>
                <w:b/>
                <w:bCs/>
                <w:color w:val="auto"/>
                <w:sz w:val="24"/>
                <w:highlight w:val="none"/>
              </w:rPr>
            </w:pPr>
            <w:r>
              <w:rPr>
                <w:rFonts w:hint="eastAsia" w:ascii="宋体" w:hAnsi="宋体" w:cs="宋体"/>
                <w:b/>
                <w:bCs/>
                <w:color w:val="auto"/>
                <w:sz w:val="24"/>
                <w:highlight w:val="none"/>
              </w:rPr>
              <w:t>*1.2性能符合XF632-2006《正压式消防氧气呼吸器》标准。</w:t>
            </w:r>
          </w:p>
          <w:p>
            <w:pPr>
              <w:numPr>
                <w:ilvl w:val="0"/>
                <w:numId w:val="0"/>
              </w:numPr>
              <w:spacing w:line="360" w:lineRule="exact"/>
              <w:ind w:left="0" w:leftChars="0" w:firstLine="0" w:firstLineChars="0"/>
              <w:jc w:val="left"/>
              <w:rPr>
                <w:rFonts w:hint="eastAsia" w:ascii="宋体" w:hAnsi="宋体" w:cs="宋体"/>
                <w:b/>
                <w:bCs/>
                <w:color w:val="auto"/>
                <w:sz w:val="24"/>
                <w:highlight w:val="none"/>
              </w:rPr>
            </w:pPr>
            <w:r>
              <w:rPr>
                <w:rFonts w:hint="eastAsia" w:ascii="宋体" w:hAnsi="宋体" w:cs="宋体"/>
                <w:b/>
                <w:bCs/>
                <w:color w:val="auto"/>
                <w:sz w:val="24"/>
                <w:highlight w:val="none"/>
              </w:rPr>
              <w:t>*2.4呼吸器额定防护时间≥120min；配备容积≤1.5L的碳纤维高压氧气瓶；工作压力20Mpa。</w:t>
            </w:r>
          </w:p>
          <w:p>
            <w:pPr>
              <w:numPr>
                <w:ilvl w:val="0"/>
                <w:numId w:val="0"/>
              </w:numPr>
              <w:spacing w:line="360" w:lineRule="exact"/>
              <w:ind w:left="0" w:leftChars="0" w:firstLine="0" w:firstLineChars="0"/>
              <w:jc w:val="left"/>
              <w:rPr>
                <w:rFonts w:hint="default" w:ascii="宋体" w:hAnsi="宋体" w:cs="宋体"/>
                <w:color w:val="auto"/>
                <w:sz w:val="24"/>
                <w:highlight w:val="none"/>
                <w:lang w:val="en-US"/>
              </w:rPr>
            </w:pPr>
            <w:r>
              <w:rPr>
                <w:rFonts w:hint="eastAsia" w:ascii="宋体" w:hAnsi="宋体" w:cs="宋体"/>
                <w:b/>
                <w:bCs/>
                <w:color w:val="auto"/>
                <w:sz w:val="24"/>
                <w:highlight w:val="none"/>
              </w:rPr>
              <w:t>*2.8呼吸器的冷却系统使用高效相变潜热材料制成，在室温下即可重新发挥冷却降温作用，不需要使用冰箱进行预先冷却，可循环使用；相变冷却材料应经过国家认可的第三方机构检测，相变潜热值≥200J/g。</w:t>
            </w:r>
          </w:p>
        </w:tc>
        <w:tc>
          <w:tcPr>
            <w:tcW w:w="1961" w:type="dxa"/>
            <w:tcBorders>
              <w:top w:val="single" w:color="auto" w:sz="6" w:space="0"/>
              <w:left w:val="single" w:color="auto" w:sz="6" w:space="0"/>
              <w:bottom w:val="single" w:color="auto" w:sz="6" w:space="0"/>
              <w:right w:val="single" w:color="auto" w:sz="4" w:space="0"/>
            </w:tcBorders>
            <w:vAlign w:val="center"/>
          </w:tcPr>
          <w:p>
            <w:pPr>
              <w:widowControl/>
              <w:autoSpaceDE w:val="0"/>
              <w:autoSpaceDN w:val="0"/>
              <w:spacing w:line="360" w:lineRule="exact"/>
              <w:ind w:left="600" w:right="-34" w:hanging="600" w:hangingChars="250"/>
              <w:jc w:val="center"/>
              <w:textAlignment w:val="bottom"/>
              <w:rPr>
                <w:rFonts w:ascii="宋体" w:hAnsi="宋体" w:cs="宋体"/>
                <w:color w:val="auto"/>
                <w:sz w:val="24"/>
                <w:highlight w:val="none"/>
              </w:rPr>
            </w:pPr>
          </w:p>
        </w:tc>
      </w:tr>
      <w:tr>
        <w:tblPrEx>
          <w:tblCellMar>
            <w:top w:w="0" w:type="dxa"/>
            <w:left w:w="108" w:type="dxa"/>
            <w:bottom w:w="0" w:type="dxa"/>
            <w:right w:w="108" w:type="dxa"/>
          </w:tblCellMar>
        </w:tblPrEx>
        <w:trPr>
          <w:trHeight w:val="397" w:hRule="atLeast"/>
          <w:jc w:val="center"/>
        </w:trPr>
        <w:tc>
          <w:tcPr>
            <w:tcW w:w="1072" w:type="dxa"/>
            <w:vMerge w:val="continue"/>
            <w:tcBorders>
              <w:left w:val="single" w:color="auto" w:sz="6" w:space="0"/>
              <w:right w:val="single" w:color="auto" w:sz="4" w:space="0"/>
            </w:tcBorders>
            <w:vAlign w:val="center"/>
          </w:tcPr>
          <w:p>
            <w:pPr>
              <w:spacing w:line="360" w:lineRule="exact"/>
              <w:ind w:firstLine="482"/>
              <w:jc w:val="center"/>
              <w:rPr>
                <w:rFonts w:ascii="宋体" w:hAnsi="宋体" w:cs="宋体"/>
                <w:color w:val="auto"/>
                <w:sz w:val="24"/>
                <w:highlight w:val="none"/>
              </w:rPr>
            </w:pPr>
          </w:p>
        </w:tc>
        <w:tc>
          <w:tcPr>
            <w:tcW w:w="6052" w:type="dxa"/>
            <w:tcBorders>
              <w:top w:val="single" w:color="auto" w:sz="6" w:space="0"/>
              <w:left w:val="single" w:color="auto" w:sz="4" w:space="0"/>
              <w:bottom w:val="single" w:color="auto" w:sz="6" w:space="0"/>
              <w:right w:val="single" w:color="auto" w:sz="6" w:space="0"/>
            </w:tcBorders>
            <w:vAlign w:val="center"/>
          </w:tcPr>
          <w:p>
            <w:pPr>
              <w:spacing w:line="360" w:lineRule="exact"/>
              <w:jc w:val="left"/>
              <w:rPr>
                <w:rFonts w:ascii="宋体" w:hAnsi="宋体" w:cs="宋体"/>
                <w:color w:val="auto"/>
                <w:sz w:val="24"/>
                <w:highlight w:val="none"/>
              </w:rPr>
            </w:pPr>
            <w:r>
              <w:rPr>
                <w:rFonts w:hint="eastAsia" w:ascii="宋体" w:hAnsi="宋体" w:cs="宋体"/>
                <w:color w:val="auto"/>
                <w:sz w:val="24"/>
                <w:highlight w:val="none"/>
              </w:rPr>
              <w:t>4）提交的投标价格为非可调整的价格。</w:t>
            </w:r>
          </w:p>
        </w:tc>
        <w:tc>
          <w:tcPr>
            <w:tcW w:w="1961" w:type="dxa"/>
            <w:tcBorders>
              <w:top w:val="single" w:color="auto" w:sz="6" w:space="0"/>
              <w:left w:val="single" w:color="auto" w:sz="6" w:space="0"/>
              <w:bottom w:val="single" w:color="auto" w:sz="6" w:space="0"/>
              <w:right w:val="single" w:color="auto" w:sz="4" w:space="0"/>
            </w:tcBorders>
            <w:vAlign w:val="center"/>
          </w:tcPr>
          <w:p>
            <w:pPr>
              <w:widowControl/>
              <w:autoSpaceDE w:val="0"/>
              <w:autoSpaceDN w:val="0"/>
              <w:spacing w:line="360" w:lineRule="exact"/>
              <w:ind w:left="600" w:right="-34" w:hanging="600" w:hangingChars="250"/>
              <w:jc w:val="center"/>
              <w:textAlignment w:val="bottom"/>
              <w:rPr>
                <w:rFonts w:ascii="宋体" w:hAnsi="宋体" w:cs="宋体"/>
                <w:color w:val="auto"/>
                <w:sz w:val="24"/>
                <w:highlight w:val="none"/>
              </w:rPr>
            </w:pPr>
          </w:p>
        </w:tc>
      </w:tr>
      <w:tr>
        <w:tblPrEx>
          <w:tblCellMar>
            <w:top w:w="0" w:type="dxa"/>
            <w:left w:w="108" w:type="dxa"/>
            <w:bottom w:w="0" w:type="dxa"/>
            <w:right w:w="108" w:type="dxa"/>
          </w:tblCellMar>
        </w:tblPrEx>
        <w:trPr>
          <w:trHeight w:val="90" w:hRule="atLeast"/>
          <w:jc w:val="center"/>
        </w:trPr>
        <w:tc>
          <w:tcPr>
            <w:tcW w:w="1072" w:type="dxa"/>
            <w:vMerge w:val="continue"/>
            <w:tcBorders>
              <w:left w:val="single" w:color="auto" w:sz="6" w:space="0"/>
              <w:right w:val="single" w:color="auto" w:sz="4" w:space="0"/>
            </w:tcBorders>
            <w:vAlign w:val="center"/>
          </w:tcPr>
          <w:p>
            <w:pPr>
              <w:spacing w:line="360" w:lineRule="exact"/>
              <w:ind w:firstLine="482"/>
              <w:jc w:val="center"/>
              <w:rPr>
                <w:rFonts w:ascii="宋体" w:hAnsi="宋体" w:cs="宋体"/>
                <w:color w:val="auto"/>
                <w:sz w:val="24"/>
                <w:highlight w:val="none"/>
              </w:rPr>
            </w:pPr>
          </w:p>
        </w:tc>
        <w:tc>
          <w:tcPr>
            <w:tcW w:w="6052" w:type="dxa"/>
            <w:tcBorders>
              <w:top w:val="single" w:color="auto" w:sz="6" w:space="0"/>
              <w:left w:val="single" w:color="auto" w:sz="4" w:space="0"/>
              <w:bottom w:val="single" w:color="auto" w:sz="6" w:space="0"/>
              <w:right w:val="single" w:color="auto" w:sz="6" w:space="0"/>
            </w:tcBorders>
            <w:vAlign w:val="center"/>
          </w:tcPr>
          <w:p>
            <w:pPr>
              <w:spacing w:line="360" w:lineRule="exact"/>
              <w:jc w:val="left"/>
              <w:rPr>
                <w:rFonts w:ascii="宋体" w:hAnsi="宋体" w:cs="宋体"/>
                <w:color w:val="auto"/>
                <w:sz w:val="24"/>
                <w:highlight w:val="none"/>
              </w:rPr>
            </w:pPr>
            <w:r>
              <w:rPr>
                <w:rFonts w:hint="eastAsia" w:ascii="宋体" w:hAnsi="宋体" w:cs="宋体"/>
                <w:color w:val="auto"/>
                <w:sz w:val="24"/>
                <w:highlight w:val="none"/>
              </w:rPr>
              <w:t>5）符合招标文件中合同履行期限（交货期）的要求。</w:t>
            </w:r>
          </w:p>
        </w:tc>
        <w:tc>
          <w:tcPr>
            <w:tcW w:w="1961" w:type="dxa"/>
            <w:tcBorders>
              <w:top w:val="single" w:color="auto" w:sz="6" w:space="0"/>
              <w:left w:val="single" w:color="auto" w:sz="6" w:space="0"/>
              <w:bottom w:val="single" w:color="auto" w:sz="6" w:space="0"/>
              <w:right w:val="single" w:color="auto" w:sz="4" w:space="0"/>
            </w:tcBorders>
            <w:vAlign w:val="center"/>
          </w:tcPr>
          <w:p>
            <w:pPr>
              <w:widowControl/>
              <w:autoSpaceDE w:val="0"/>
              <w:autoSpaceDN w:val="0"/>
              <w:spacing w:line="360" w:lineRule="exact"/>
              <w:ind w:left="600" w:right="-34" w:hanging="600" w:hangingChars="250"/>
              <w:jc w:val="center"/>
              <w:textAlignment w:val="bottom"/>
              <w:rPr>
                <w:rFonts w:ascii="宋体" w:hAnsi="宋体" w:cs="宋体"/>
                <w:color w:val="auto"/>
                <w:sz w:val="24"/>
                <w:highlight w:val="none"/>
              </w:rPr>
            </w:pPr>
          </w:p>
        </w:tc>
      </w:tr>
      <w:tr>
        <w:tblPrEx>
          <w:tblCellMar>
            <w:top w:w="0" w:type="dxa"/>
            <w:left w:w="108" w:type="dxa"/>
            <w:bottom w:w="0" w:type="dxa"/>
            <w:right w:w="108" w:type="dxa"/>
          </w:tblCellMar>
        </w:tblPrEx>
        <w:trPr>
          <w:trHeight w:val="397" w:hRule="atLeast"/>
          <w:jc w:val="center"/>
        </w:trPr>
        <w:tc>
          <w:tcPr>
            <w:tcW w:w="1072" w:type="dxa"/>
            <w:vMerge w:val="continue"/>
            <w:tcBorders>
              <w:left w:val="single" w:color="auto" w:sz="6" w:space="0"/>
              <w:right w:val="single" w:color="auto" w:sz="4" w:space="0"/>
            </w:tcBorders>
            <w:vAlign w:val="center"/>
          </w:tcPr>
          <w:p>
            <w:pPr>
              <w:spacing w:line="360" w:lineRule="exact"/>
              <w:ind w:firstLine="482"/>
              <w:jc w:val="center"/>
              <w:rPr>
                <w:rFonts w:ascii="宋体" w:hAnsi="宋体" w:cs="宋体"/>
                <w:color w:val="auto"/>
                <w:sz w:val="24"/>
                <w:highlight w:val="none"/>
              </w:rPr>
            </w:pPr>
          </w:p>
        </w:tc>
        <w:tc>
          <w:tcPr>
            <w:tcW w:w="6052" w:type="dxa"/>
            <w:tcBorders>
              <w:top w:val="single" w:color="auto" w:sz="6" w:space="0"/>
              <w:left w:val="single" w:color="auto" w:sz="4" w:space="0"/>
              <w:bottom w:val="single" w:color="auto" w:sz="6" w:space="0"/>
              <w:right w:val="single" w:color="auto" w:sz="6" w:space="0"/>
            </w:tcBorders>
            <w:vAlign w:val="center"/>
          </w:tcPr>
          <w:p>
            <w:pPr>
              <w:spacing w:line="360" w:lineRule="exact"/>
              <w:jc w:val="left"/>
              <w:rPr>
                <w:rFonts w:ascii="宋体" w:hAnsi="宋体" w:cs="宋体"/>
                <w:color w:val="auto"/>
                <w:sz w:val="24"/>
                <w:highlight w:val="none"/>
              </w:rPr>
            </w:pPr>
            <w:r>
              <w:rPr>
                <w:rFonts w:hint="eastAsia" w:ascii="宋体" w:hAnsi="宋体" w:cs="宋体"/>
                <w:color w:val="auto"/>
                <w:sz w:val="24"/>
                <w:highlight w:val="none"/>
              </w:rPr>
              <w:t>6）投标人不存在串通投标行为。</w:t>
            </w:r>
          </w:p>
        </w:tc>
        <w:tc>
          <w:tcPr>
            <w:tcW w:w="1961" w:type="dxa"/>
            <w:tcBorders>
              <w:top w:val="single" w:color="auto" w:sz="6" w:space="0"/>
              <w:left w:val="single" w:color="auto" w:sz="6" w:space="0"/>
              <w:bottom w:val="single" w:color="auto" w:sz="6" w:space="0"/>
              <w:right w:val="single" w:color="auto" w:sz="4" w:space="0"/>
            </w:tcBorders>
            <w:vAlign w:val="center"/>
          </w:tcPr>
          <w:p>
            <w:pPr>
              <w:widowControl/>
              <w:autoSpaceDE w:val="0"/>
              <w:autoSpaceDN w:val="0"/>
              <w:spacing w:line="360" w:lineRule="exact"/>
              <w:ind w:left="600" w:right="-34" w:hanging="600" w:hangingChars="250"/>
              <w:jc w:val="center"/>
              <w:textAlignment w:val="bottom"/>
              <w:rPr>
                <w:rFonts w:ascii="宋体" w:hAnsi="宋体" w:cs="宋体"/>
                <w:color w:val="auto"/>
                <w:sz w:val="24"/>
                <w:highlight w:val="none"/>
              </w:rPr>
            </w:pPr>
          </w:p>
        </w:tc>
      </w:tr>
      <w:tr>
        <w:tblPrEx>
          <w:tblCellMar>
            <w:top w:w="0" w:type="dxa"/>
            <w:left w:w="108" w:type="dxa"/>
            <w:bottom w:w="0" w:type="dxa"/>
            <w:right w:w="108" w:type="dxa"/>
          </w:tblCellMar>
        </w:tblPrEx>
        <w:trPr>
          <w:trHeight w:val="397" w:hRule="atLeast"/>
          <w:jc w:val="center"/>
        </w:trPr>
        <w:tc>
          <w:tcPr>
            <w:tcW w:w="1072" w:type="dxa"/>
            <w:vMerge w:val="continue"/>
            <w:tcBorders>
              <w:left w:val="single" w:color="auto" w:sz="6" w:space="0"/>
              <w:right w:val="single" w:color="auto" w:sz="4" w:space="0"/>
            </w:tcBorders>
            <w:vAlign w:val="center"/>
          </w:tcPr>
          <w:p>
            <w:pPr>
              <w:spacing w:line="360" w:lineRule="exact"/>
              <w:ind w:firstLine="482"/>
              <w:jc w:val="center"/>
              <w:rPr>
                <w:rFonts w:ascii="宋体" w:hAnsi="宋体" w:cs="宋体"/>
                <w:color w:val="auto"/>
                <w:sz w:val="24"/>
                <w:highlight w:val="none"/>
              </w:rPr>
            </w:pPr>
          </w:p>
        </w:tc>
        <w:tc>
          <w:tcPr>
            <w:tcW w:w="6052" w:type="dxa"/>
            <w:tcBorders>
              <w:top w:val="single" w:color="auto" w:sz="6" w:space="0"/>
              <w:left w:val="single" w:color="auto" w:sz="4" w:space="0"/>
              <w:bottom w:val="single" w:color="auto" w:sz="6" w:space="0"/>
              <w:right w:val="single" w:color="auto" w:sz="6" w:space="0"/>
            </w:tcBorders>
            <w:vAlign w:val="center"/>
          </w:tcPr>
          <w:p>
            <w:pPr>
              <w:spacing w:line="360" w:lineRule="exact"/>
              <w:jc w:val="left"/>
              <w:rPr>
                <w:rFonts w:hint="eastAsia" w:ascii="宋体" w:hAnsi="宋体" w:cs="宋体"/>
                <w:color w:val="auto"/>
                <w:sz w:val="24"/>
                <w:highlight w:val="none"/>
              </w:rPr>
            </w:pPr>
            <w:r>
              <w:rPr>
                <w:rFonts w:hint="eastAsia" w:ascii="宋体" w:hAnsi="宋体" w:cs="宋体"/>
                <w:color w:val="auto"/>
                <w:sz w:val="24"/>
                <w:highlight w:val="none"/>
                <w:lang w:val="en-US" w:eastAsia="zh-CN"/>
              </w:rPr>
              <w:t>7）</w:t>
            </w:r>
            <w:r>
              <w:rPr>
                <w:rFonts w:hint="eastAsia" w:ascii="宋体" w:hAnsi="宋体" w:cs="宋体"/>
                <w:color w:val="auto"/>
                <w:sz w:val="24"/>
                <w:highlight w:val="none"/>
              </w:rPr>
              <w:t>按招标文件中的要求提交了投标保证金</w:t>
            </w:r>
          </w:p>
        </w:tc>
        <w:tc>
          <w:tcPr>
            <w:tcW w:w="1961" w:type="dxa"/>
            <w:tcBorders>
              <w:top w:val="single" w:color="auto" w:sz="6" w:space="0"/>
              <w:left w:val="single" w:color="auto" w:sz="6" w:space="0"/>
              <w:bottom w:val="single" w:color="auto" w:sz="6" w:space="0"/>
              <w:right w:val="single" w:color="auto" w:sz="4" w:space="0"/>
            </w:tcBorders>
            <w:vAlign w:val="center"/>
          </w:tcPr>
          <w:p>
            <w:pPr>
              <w:widowControl/>
              <w:autoSpaceDE w:val="0"/>
              <w:autoSpaceDN w:val="0"/>
              <w:spacing w:line="360" w:lineRule="exact"/>
              <w:ind w:left="600" w:right="-34" w:hanging="600" w:hangingChars="250"/>
              <w:jc w:val="center"/>
              <w:textAlignment w:val="bottom"/>
              <w:rPr>
                <w:rFonts w:ascii="宋体" w:hAnsi="宋体" w:cs="宋体"/>
                <w:color w:val="auto"/>
                <w:sz w:val="24"/>
                <w:highlight w:val="none"/>
              </w:rPr>
            </w:pPr>
          </w:p>
        </w:tc>
      </w:tr>
      <w:tr>
        <w:tblPrEx>
          <w:tblCellMar>
            <w:top w:w="0" w:type="dxa"/>
            <w:left w:w="108" w:type="dxa"/>
            <w:bottom w:w="0" w:type="dxa"/>
            <w:right w:w="108" w:type="dxa"/>
          </w:tblCellMar>
        </w:tblPrEx>
        <w:trPr>
          <w:trHeight w:val="412" w:hRule="atLeast"/>
          <w:jc w:val="center"/>
        </w:trPr>
        <w:tc>
          <w:tcPr>
            <w:tcW w:w="1072" w:type="dxa"/>
            <w:vMerge w:val="continue"/>
            <w:tcBorders>
              <w:left w:val="single" w:color="auto" w:sz="6" w:space="0"/>
              <w:right w:val="single" w:color="auto" w:sz="4" w:space="0"/>
            </w:tcBorders>
            <w:vAlign w:val="center"/>
          </w:tcPr>
          <w:p>
            <w:pPr>
              <w:spacing w:line="360" w:lineRule="exact"/>
              <w:ind w:firstLine="482"/>
              <w:jc w:val="center"/>
              <w:rPr>
                <w:rFonts w:ascii="宋体" w:hAnsi="宋体" w:cs="宋体"/>
                <w:color w:val="auto"/>
                <w:sz w:val="24"/>
                <w:highlight w:val="none"/>
              </w:rPr>
            </w:pPr>
          </w:p>
        </w:tc>
        <w:tc>
          <w:tcPr>
            <w:tcW w:w="6052" w:type="dxa"/>
            <w:tcBorders>
              <w:top w:val="single" w:color="auto" w:sz="6" w:space="0"/>
              <w:left w:val="single" w:color="auto" w:sz="4" w:space="0"/>
              <w:right w:val="single" w:color="auto" w:sz="6" w:space="0"/>
            </w:tcBorders>
            <w:vAlign w:val="center"/>
          </w:tcPr>
          <w:p>
            <w:pPr>
              <w:spacing w:line="360" w:lineRule="exact"/>
              <w:jc w:val="left"/>
              <w:rPr>
                <w:rFonts w:ascii="宋体" w:hAnsi="宋体" w:cs="宋体"/>
                <w:color w:val="auto"/>
                <w:sz w:val="24"/>
                <w:highlight w:val="none"/>
              </w:rPr>
            </w:pPr>
            <w:r>
              <w:rPr>
                <w:rFonts w:hint="eastAsia" w:ascii="宋体" w:hAnsi="宋体" w:cs="宋体"/>
                <w:color w:val="auto"/>
                <w:sz w:val="24"/>
                <w:highlight w:val="none"/>
                <w:lang w:val="en-US" w:eastAsia="zh-CN"/>
              </w:rPr>
              <w:t>8</w:t>
            </w:r>
            <w:r>
              <w:rPr>
                <w:rFonts w:hint="eastAsia" w:ascii="宋体" w:hAnsi="宋体" w:cs="宋体"/>
                <w:color w:val="auto"/>
                <w:sz w:val="24"/>
                <w:highlight w:val="none"/>
              </w:rPr>
              <w:t>）对招标文件的实质性要求作出响应。</w:t>
            </w:r>
          </w:p>
        </w:tc>
        <w:tc>
          <w:tcPr>
            <w:tcW w:w="1961" w:type="dxa"/>
            <w:tcBorders>
              <w:top w:val="single" w:color="auto" w:sz="6" w:space="0"/>
              <w:left w:val="single" w:color="auto" w:sz="6" w:space="0"/>
              <w:bottom w:val="single" w:color="auto" w:sz="6" w:space="0"/>
              <w:right w:val="single" w:color="auto" w:sz="4" w:space="0"/>
            </w:tcBorders>
            <w:vAlign w:val="center"/>
          </w:tcPr>
          <w:p>
            <w:pPr>
              <w:widowControl/>
              <w:autoSpaceDE w:val="0"/>
              <w:autoSpaceDN w:val="0"/>
              <w:spacing w:line="360" w:lineRule="exact"/>
              <w:ind w:left="600" w:right="-34" w:hanging="600" w:hangingChars="250"/>
              <w:jc w:val="center"/>
              <w:textAlignment w:val="bottom"/>
              <w:rPr>
                <w:rFonts w:ascii="宋体" w:hAnsi="宋体" w:cs="宋体"/>
                <w:color w:val="auto"/>
                <w:sz w:val="24"/>
                <w:highlight w:val="none"/>
              </w:rPr>
            </w:pPr>
          </w:p>
        </w:tc>
      </w:tr>
      <w:tr>
        <w:tblPrEx>
          <w:tblCellMar>
            <w:top w:w="0" w:type="dxa"/>
            <w:left w:w="108" w:type="dxa"/>
            <w:bottom w:w="0" w:type="dxa"/>
            <w:right w:w="108" w:type="dxa"/>
          </w:tblCellMar>
        </w:tblPrEx>
        <w:trPr>
          <w:trHeight w:val="397" w:hRule="atLeast"/>
          <w:jc w:val="center"/>
        </w:trPr>
        <w:tc>
          <w:tcPr>
            <w:tcW w:w="7124" w:type="dxa"/>
            <w:gridSpan w:val="2"/>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360" w:lineRule="exact"/>
              <w:ind w:left="600" w:right="-34" w:hanging="600" w:hangingChars="250"/>
              <w:jc w:val="center"/>
              <w:textAlignment w:val="bottom"/>
              <w:rPr>
                <w:rFonts w:ascii="宋体" w:hAnsi="宋体" w:cs="宋体"/>
                <w:color w:val="auto"/>
                <w:sz w:val="24"/>
                <w:highlight w:val="none"/>
              </w:rPr>
            </w:pPr>
            <w:r>
              <w:rPr>
                <w:rFonts w:hint="eastAsia" w:ascii="宋体" w:hAnsi="宋体" w:cs="宋体"/>
                <w:color w:val="auto"/>
                <w:sz w:val="24"/>
                <w:highlight w:val="none"/>
              </w:rPr>
              <w:t>结论</w:t>
            </w:r>
          </w:p>
        </w:tc>
        <w:tc>
          <w:tcPr>
            <w:tcW w:w="1961" w:type="dxa"/>
            <w:tcBorders>
              <w:top w:val="single" w:color="auto" w:sz="6" w:space="0"/>
              <w:left w:val="single" w:color="auto" w:sz="6" w:space="0"/>
              <w:bottom w:val="single" w:color="auto" w:sz="6" w:space="0"/>
              <w:right w:val="single" w:color="auto" w:sz="4" w:space="0"/>
            </w:tcBorders>
            <w:vAlign w:val="center"/>
          </w:tcPr>
          <w:p>
            <w:pPr>
              <w:widowControl/>
              <w:autoSpaceDE w:val="0"/>
              <w:autoSpaceDN w:val="0"/>
              <w:spacing w:line="360" w:lineRule="exact"/>
              <w:ind w:left="600" w:right="-34" w:hanging="600" w:hangingChars="250"/>
              <w:jc w:val="center"/>
              <w:textAlignment w:val="bottom"/>
              <w:rPr>
                <w:rFonts w:ascii="宋体" w:hAnsi="宋体" w:cs="宋体"/>
                <w:color w:val="auto"/>
                <w:sz w:val="24"/>
                <w:highlight w:val="none"/>
              </w:rPr>
            </w:pPr>
          </w:p>
        </w:tc>
      </w:tr>
      <w:tr>
        <w:tblPrEx>
          <w:tblCellMar>
            <w:top w:w="0" w:type="dxa"/>
            <w:left w:w="108" w:type="dxa"/>
            <w:bottom w:w="0" w:type="dxa"/>
            <w:right w:w="108" w:type="dxa"/>
          </w:tblCellMar>
        </w:tblPrEx>
        <w:trPr>
          <w:trHeight w:val="397" w:hRule="atLeast"/>
          <w:jc w:val="center"/>
        </w:trPr>
        <w:tc>
          <w:tcPr>
            <w:tcW w:w="9085" w:type="dxa"/>
            <w:gridSpan w:val="3"/>
            <w:tcBorders>
              <w:top w:val="single" w:color="auto" w:sz="6" w:space="0"/>
              <w:left w:val="single" w:color="auto" w:sz="6" w:space="0"/>
              <w:bottom w:val="single" w:color="auto" w:sz="6" w:space="0"/>
              <w:right w:val="single" w:color="auto" w:sz="4" w:space="0"/>
            </w:tcBorders>
            <w:vAlign w:val="center"/>
          </w:tcPr>
          <w:p>
            <w:pPr>
              <w:widowControl/>
              <w:autoSpaceDE w:val="0"/>
              <w:autoSpaceDN w:val="0"/>
              <w:spacing w:line="360" w:lineRule="exact"/>
              <w:ind w:left="600" w:right="-34" w:hanging="600" w:hangingChars="250"/>
              <w:jc w:val="left"/>
              <w:textAlignment w:val="bottom"/>
              <w:rPr>
                <w:rFonts w:ascii="宋体" w:hAnsi="宋体" w:cs="宋体"/>
                <w:color w:val="auto"/>
                <w:sz w:val="24"/>
                <w:highlight w:val="none"/>
              </w:rPr>
            </w:pPr>
            <w:r>
              <w:rPr>
                <w:rFonts w:hint="eastAsia" w:ascii="宋体" w:hAnsi="宋体" w:cs="宋体"/>
                <w:color w:val="auto"/>
                <w:sz w:val="24"/>
                <w:highlight w:val="none"/>
              </w:rPr>
              <w:t>主任评委：</w:t>
            </w:r>
          </w:p>
          <w:p>
            <w:pPr>
              <w:widowControl/>
              <w:autoSpaceDE w:val="0"/>
              <w:autoSpaceDN w:val="0"/>
              <w:spacing w:line="360" w:lineRule="exact"/>
              <w:ind w:left="600" w:right="-34" w:hanging="600" w:hangingChars="250"/>
              <w:jc w:val="left"/>
              <w:textAlignment w:val="bottom"/>
              <w:rPr>
                <w:rFonts w:ascii="宋体" w:hAnsi="宋体" w:cs="宋体"/>
                <w:color w:val="auto"/>
                <w:sz w:val="24"/>
                <w:highlight w:val="none"/>
              </w:rPr>
            </w:pPr>
            <w:r>
              <w:rPr>
                <w:rFonts w:hint="eastAsia" w:ascii="宋体" w:hAnsi="宋体" w:cs="宋体"/>
                <w:color w:val="auto"/>
                <w:sz w:val="24"/>
                <w:highlight w:val="none"/>
              </w:rPr>
              <w:t>其他评委：</w:t>
            </w:r>
          </w:p>
        </w:tc>
      </w:tr>
    </w:tbl>
    <w:p>
      <w:pPr>
        <w:spacing w:line="360" w:lineRule="auto"/>
        <w:rPr>
          <w:rFonts w:ascii="宋体" w:hAnsi="宋体" w:cs="宋体"/>
          <w:color w:val="auto"/>
          <w:sz w:val="24"/>
          <w:highlight w:val="none"/>
        </w:rPr>
      </w:pPr>
      <w:r>
        <w:rPr>
          <w:rFonts w:hint="eastAsia" w:ascii="宋体" w:hAnsi="宋体" w:cs="宋体"/>
          <w:color w:val="auto"/>
          <w:sz w:val="24"/>
          <w:highlight w:val="none"/>
        </w:rPr>
        <w:t>注：本表中符合评审内容要求的写“√”，不符合评审内容要求的写“×”。结论为“合格”或“不合格”。结论不合格的不进入综合评审阶段。</w:t>
      </w:r>
    </w:p>
    <w:p>
      <w:pPr>
        <w:spacing w:line="360" w:lineRule="exact"/>
        <w:rPr>
          <w:rFonts w:hint="eastAsia" w:ascii="宋体" w:hAnsi="宋体" w:eastAsia="宋体" w:cs="宋体"/>
          <w:color w:val="auto"/>
          <w:sz w:val="24"/>
          <w:highlight w:val="none"/>
          <w:lang w:eastAsia="zh-CN"/>
        </w:rPr>
      </w:pPr>
      <w:r>
        <w:rPr>
          <w:rFonts w:hint="eastAsia" w:ascii="宋体" w:hAnsi="宋体" w:cs="宋体"/>
          <w:color w:val="auto"/>
          <w:sz w:val="24"/>
          <w:highlight w:val="none"/>
        </w:rPr>
        <w:t>投标文件属下列情况之一的，应当在符合性审查时按照无效投标处理：</w:t>
      </w:r>
    </w:p>
    <w:p>
      <w:pPr>
        <w:spacing w:line="360" w:lineRule="exact"/>
        <w:rPr>
          <w:rFonts w:hint="eastAsia" w:ascii="宋体" w:hAnsi="宋体" w:eastAsia="宋体" w:cs="宋体"/>
          <w:color w:val="auto"/>
          <w:sz w:val="24"/>
          <w:highlight w:val="none"/>
          <w:shd w:val="clear"/>
        </w:rPr>
      </w:pPr>
      <w:r>
        <w:rPr>
          <w:rFonts w:hint="eastAsia" w:ascii="宋体" w:hAnsi="宋体" w:eastAsia="宋体" w:cs="宋体"/>
          <w:color w:val="auto"/>
          <w:sz w:val="24"/>
          <w:highlight w:val="none"/>
          <w:shd w:val="clear"/>
        </w:rPr>
        <w:t>（一）未按照招标文件的规定提交投标保证金的；</w:t>
      </w:r>
    </w:p>
    <w:p>
      <w:pPr>
        <w:spacing w:line="360" w:lineRule="exact"/>
        <w:rPr>
          <w:rFonts w:hint="eastAsia" w:ascii="宋体" w:hAnsi="宋体" w:eastAsia="宋体" w:cs="宋体"/>
          <w:color w:val="auto"/>
          <w:sz w:val="24"/>
          <w:highlight w:val="none"/>
          <w:shd w:val="clear"/>
        </w:rPr>
      </w:pPr>
      <w:r>
        <w:rPr>
          <w:rFonts w:hint="eastAsia" w:ascii="宋体" w:hAnsi="宋体" w:eastAsia="宋体" w:cs="宋体"/>
          <w:color w:val="auto"/>
          <w:sz w:val="24"/>
          <w:highlight w:val="none"/>
          <w:shd w:val="clear"/>
        </w:rPr>
        <w:t>（二）投标文件未按招标文件要求签署、盖章的；</w:t>
      </w:r>
    </w:p>
    <w:p>
      <w:pPr>
        <w:spacing w:line="360" w:lineRule="exact"/>
        <w:rPr>
          <w:rFonts w:hint="eastAsia" w:ascii="宋体" w:hAnsi="宋体" w:eastAsia="宋体" w:cs="宋体"/>
          <w:color w:val="auto"/>
          <w:sz w:val="24"/>
          <w:highlight w:val="none"/>
          <w:shd w:val="clear"/>
        </w:rPr>
      </w:pPr>
      <w:r>
        <w:rPr>
          <w:rFonts w:hint="eastAsia" w:ascii="宋体" w:hAnsi="宋体" w:eastAsia="宋体" w:cs="宋体"/>
          <w:color w:val="auto"/>
          <w:sz w:val="24"/>
          <w:highlight w:val="none"/>
          <w:shd w:val="clear"/>
        </w:rPr>
        <w:t>（三）不具备招标文件中规定的资格要求的；</w:t>
      </w:r>
    </w:p>
    <w:p>
      <w:pPr>
        <w:spacing w:line="360" w:lineRule="exact"/>
        <w:rPr>
          <w:rFonts w:hint="eastAsia" w:ascii="宋体" w:hAnsi="宋体" w:eastAsia="宋体" w:cs="宋体"/>
          <w:color w:val="auto"/>
          <w:sz w:val="24"/>
          <w:highlight w:val="none"/>
          <w:shd w:val="clear"/>
        </w:rPr>
      </w:pPr>
      <w:r>
        <w:rPr>
          <w:rFonts w:hint="eastAsia" w:ascii="宋体" w:hAnsi="宋体" w:eastAsia="宋体" w:cs="宋体"/>
          <w:color w:val="auto"/>
          <w:sz w:val="24"/>
          <w:highlight w:val="none"/>
          <w:shd w:val="clear"/>
        </w:rPr>
        <w:t>（四）报价超过招标文件中规定的预算金额或者最高限价的；</w:t>
      </w:r>
    </w:p>
    <w:p>
      <w:pPr>
        <w:spacing w:line="360" w:lineRule="exact"/>
        <w:rPr>
          <w:rFonts w:hint="eastAsia" w:ascii="宋体" w:hAnsi="宋体" w:eastAsia="宋体" w:cs="宋体"/>
          <w:color w:val="auto"/>
          <w:sz w:val="24"/>
          <w:highlight w:val="none"/>
          <w:shd w:val="clear"/>
        </w:rPr>
      </w:pPr>
      <w:r>
        <w:rPr>
          <w:rFonts w:hint="eastAsia" w:ascii="宋体" w:hAnsi="宋体" w:eastAsia="宋体" w:cs="宋体"/>
          <w:color w:val="auto"/>
          <w:sz w:val="24"/>
          <w:highlight w:val="none"/>
          <w:shd w:val="clear"/>
        </w:rPr>
        <w:t>（五）投标文件含有采购人不能接受的附加条件的;</w:t>
      </w:r>
    </w:p>
    <w:p>
      <w:pPr>
        <w:numPr>
          <w:ilvl w:val="0"/>
          <w:numId w:val="0"/>
        </w:numPr>
        <w:spacing w:line="360" w:lineRule="auto"/>
        <w:rPr>
          <w:rFonts w:ascii="宋体" w:hAnsi="宋体" w:cs="宋体"/>
          <w:color w:val="auto"/>
          <w:sz w:val="24"/>
          <w:highlight w:val="none"/>
        </w:rPr>
      </w:pPr>
      <w:r>
        <w:rPr>
          <w:rFonts w:hint="eastAsia" w:ascii="宋体" w:hAnsi="宋体" w:eastAsia="宋体" w:cs="宋体"/>
          <w:color w:val="auto"/>
          <w:sz w:val="24"/>
          <w:highlight w:val="none"/>
          <w:shd w:val="clear"/>
        </w:rPr>
        <w:t>（六）法律、法规和招标文件规定的其他无效情形。</w:t>
      </w:r>
      <w:r>
        <w:rPr>
          <w:rFonts w:hint="eastAsia" w:ascii="宋体" w:hAnsi="宋体" w:cs="宋体"/>
          <w:color w:val="auto"/>
          <w:sz w:val="24"/>
          <w:highlight w:val="none"/>
        </w:rPr>
        <w:t>　　</w:t>
      </w:r>
    </w:p>
    <w:p>
      <w:pPr>
        <w:spacing w:line="360" w:lineRule="auto"/>
        <w:rPr>
          <w:rFonts w:ascii="宋体" w:hAnsi="宋体" w:cs="宋体"/>
          <w:color w:val="auto"/>
          <w:sz w:val="24"/>
          <w:highlight w:val="none"/>
        </w:rPr>
      </w:pPr>
      <w:r>
        <w:rPr>
          <w:rFonts w:hint="eastAsia" w:ascii="宋体" w:hAnsi="宋体" w:cs="宋体"/>
          <w:color w:val="auto"/>
          <w:sz w:val="24"/>
          <w:highlight w:val="none"/>
        </w:rPr>
        <w:t>审查投标人是否存在串通投标行为：评标委员会发现有下列情形之一的，视为投标人串通投标，其投标无效：</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有下列情形之一的，视为投标人串通投标，其投标无效：</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（一）不同投标人的投标文件由同一单位或者个人编制；</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（二）不同投标人委托同一单位或者个人办理投标事宜；</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（三）不同投标人的投标文件载明的项目管理成员或者联系人员为同一人；</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（四）不同投标人的投标文件异常一致或者投标报价呈规律性差异；</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（五）不同投标人的投标文件相互混装；</w:t>
      </w:r>
    </w:p>
    <w:p>
      <w:pPr>
        <w:spacing w:line="360" w:lineRule="auto"/>
        <w:rPr>
          <w:rFonts w:hint="eastAsia" w:ascii="宋体" w:hAnsi="宋体" w:eastAsia="宋体" w:cs="宋体"/>
          <w:color w:val="auto"/>
          <w:sz w:val="24"/>
          <w:highlight w:val="none"/>
          <w:shd w:val="clear"/>
        </w:rPr>
      </w:pPr>
      <w:r>
        <w:rPr>
          <w:rFonts w:hint="eastAsia" w:ascii="宋体" w:hAnsi="宋体" w:eastAsia="宋体" w:cs="宋体"/>
          <w:color w:val="auto"/>
          <w:sz w:val="24"/>
          <w:highlight w:val="none"/>
          <w:shd w:val="clear"/>
        </w:rPr>
        <w:t>（六）不同投标人的投标保证金从同一单位或者个人的账户转出。</w:t>
      </w:r>
    </w:p>
    <w:p>
      <w:pPr>
        <w:spacing w:line="360" w:lineRule="auto"/>
        <w:ind w:firstLine="482"/>
        <w:rPr>
          <w:rFonts w:ascii="宋体" w:hAnsi="宋体" w:cs="宋体"/>
          <w:bCs/>
          <w:color w:val="auto"/>
          <w:sz w:val="24"/>
          <w:highlight w:val="none"/>
        </w:rPr>
      </w:pPr>
      <w:r>
        <w:rPr>
          <w:rFonts w:hint="eastAsia" w:ascii="宋体" w:hAnsi="宋体" w:cs="宋体"/>
          <w:bCs/>
          <w:color w:val="auto"/>
          <w:sz w:val="24"/>
          <w:highlight w:val="none"/>
        </w:rPr>
        <w:t>注：经评标委员会评审合格投标商的家数不足三家，该项目废标，采购人有权委托采购代理机构重新组织招标。</w:t>
      </w:r>
    </w:p>
    <w:p>
      <w:pPr>
        <w:spacing w:line="360" w:lineRule="auto"/>
        <w:rPr>
          <w:rFonts w:ascii="宋体" w:hAnsi="宋体" w:cs="宋体"/>
          <w:color w:val="auto"/>
          <w:sz w:val="24"/>
          <w:highlight w:val="none"/>
        </w:rPr>
      </w:pPr>
      <w:r>
        <w:rPr>
          <w:rFonts w:hint="eastAsia" w:ascii="宋体" w:hAnsi="宋体" w:cs="宋体"/>
          <w:b/>
          <w:bCs/>
          <w:color w:val="auto"/>
          <w:sz w:val="24"/>
          <w:highlight w:val="none"/>
          <w:lang w:val="en-US" w:eastAsia="zh-CN"/>
        </w:rPr>
        <w:t>3</w:t>
      </w:r>
      <w:r>
        <w:rPr>
          <w:rFonts w:hint="eastAsia" w:ascii="宋体" w:hAnsi="宋体" w:cs="宋体"/>
          <w:b/>
          <w:bCs/>
          <w:color w:val="auto"/>
          <w:sz w:val="24"/>
          <w:highlight w:val="none"/>
        </w:rPr>
        <w:t>.2澄清有关问题。</w:t>
      </w:r>
      <w:r>
        <w:rPr>
          <w:rFonts w:hint="eastAsia" w:ascii="宋体" w:hAnsi="宋体" w:cs="宋体"/>
          <w:color w:val="auto"/>
          <w:sz w:val="24"/>
          <w:highlight w:val="none"/>
        </w:rPr>
        <w:t>对投标文件中含义不明确、</w:t>
      </w:r>
      <w:r>
        <w:rPr>
          <w:rFonts w:hint="default" w:ascii="宋体" w:hAnsi="宋体" w:cs="宋体"/>
          <w:color w:val="auto"/>
          <w:sz w:val="24"/>
          <w:highlight w:val="none"/>
        </w:rPr>
        <w:t>类似</w:t>
      </w:r>
      <w:r>
        <w:rPr>
          <w:rFonts w:hint="eastAsia" w:ascii="宋体" w:hAnsi="宋体" w:cs="宋体"/>
          <w:color w:val="auto"/>
          <w:sz w:val="24"/>
          <w:highlight w:val="none"/>
        </w:rPr>
        <w:t>问题表述不一致或者有明显文字和计算错误的内容，评标委员会可以书面形式要求投标人做出必要的澄清、说明或者纠正。投标人的澄清、说明或者补正不得超出投标文件的范围或者改变投标文件的实质性内容。</w:t>
      </w:r>
    </w:p>
    <w:p>
      <w:pPr>
        <w:spacing w:line="360" w:lineRule="auto"/>
        <w:rPr>
          <w:rFonts w:ascii="宋体" w:hAnsi="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.2.1评标委员会将允许修正投标文件中不构成重大偏离的细微偏离，但这些修正应不会对实质上响应招标文件要求的投标人的竞争地位（相互排序）产生不公正的影响。</w:t>
      </w:r>
    </w:p>
    <w:p>
      <w:pPr>
        <w:spacing w:line="360" w:lineRule="auto"/>
        <w:rPr>
          <w:rFonts w:ascii="宋体" w:hAnsi="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2.2投标文件报价出现前后不一致的，除招标文件另有规定外，按照下列规定修正：（一）投标文件中开标一览表（报价表）内容与投标文件中相应内容不一致的，以开标一览表（报价表）为准；（二）大写金额和小写金额不一致的，以大写金额为准；（三）单价金额小数点或者百分比有明显错位的，以开标一览表的总价为准，并修改单价；（四）总价金额与按单价汇总金额不一致的，以单价金额计算结果为准。同时出现两种以上不一致的，按照规定的顺序修正。修正后的报价经投标人确认后产生约束力，投标人不确认的，其投标无效。</w:t>
      </w:r>
    </w:p>
    <w:p>
      <w:pPr>
        <w:spacing w:line="360" w:lineRule="auto"/>
        <w:rPr>
          <w:rFonts w:ascii="宋体" w:hAnsi="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2.3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19"/>
        <w:spacing w:beforeAutospacing="0" w:afterAutospacing="0" w:line="360" w:lineRule="auto"/>
        <w:jc w:val="both"/>
        <w:rPr>
          <w:b/>
          <w:bCs/>
          <w:color w:val="auto"/>
          <w:kern w:val="2"/>
          <w:highlight w:val="none"/>
        </w:rPr>
      </w:pPr>
      <w:r>
        <w:rPr>
          <w:rFonts w:hint="eastAsia"/>
          <w:b/>
          <w:bCs/>
          <w:color w:val="auto"/>
          <w:kern w:val="2"/>
          <w:highlight w:val="none"/>
          <w:lang w:val="en-US" w:eastAsia="zh-CN"/>
        </w:rPr>
        <w:t>3</w:t>
      </w:r>
      <w:r>
        <w:rPr>
          <w:rFonts w:hint="eastAsia"/>
          <w:b/>
          <w:bCs/>
          <w:color w:val="auto"/>
          <w:kern w:val="2"/>
          <w:highlight w:val="none"/>
        </w:rPr>
        <w:t>.3评标委员会应当按照招标文件中规定的评标方法和标准，对符合性审查合格的投标文件进行商务和技术评估，综合比较与评价。</w:t>
      </w:r>
    </w:p>
    <w:p>
      <w:pPr>
        <w:spacing w:line="360" w:lineRule="auto"/>
        <w:rPr>
          <w:rFonts w:ascii="宋体" w:hAnsi="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.3.1 本项目采用综合评分法评标，评标委员会将按下述标准评定中标人：独立对每个投标人的投标文件进行评价，并汇总每个投标人的得分。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使用综合评分法的采购项目，提供相同品牌产品且通过资格审查、符合性审查的不同投标人参加同一合同项下投标的，按一家投标人计算，评审后得分最高的同品牌投标人获得中标人推荐资格；评审得分相同的，由评标委员会采取随机抽取方式确定，其他同品牌投标人不作为中标候选人。</w:t>
      </w:r>
    </w:p>
    <w:p>
      <w:pPr>
        <w:spacing w:line="360" w:lineRule="auto"/>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非单一产品采购项目，采购人根据采购项目技术构成、产品价格比重等合理确定核心产品，并在招标文件第五章中载明。多家投标人提供的核心产品品牌相同的，按前款规定处理。</w:t>
      </w:r>
    </w:p>
    <w:p>
      <w:pPr>
        <w:spacing w:line="360" w:lineRule="auto"/>
        <w:rPr>
          <w:rFonts w:ascii="宋体" w:hAnsi="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.3.1.1综合评分法评分方法（计算结果精确到小数点后两位）：</w:t>
      </w:r>
    </w:p>
    <w:tbl>
      <w:tblPr>
        <w:tblStyle w:val="23"/>
        <w:tblW w:w="95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838"/>
        <w:gridCol w:w="933"/>
        <w:gridCol w:w="5907"/>
        <w:gridCol w:w="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1061" w:type="dxa"/>
            <w:vAlign w:val="center"/>
          </w:tcPr>
          <w:p>
            <w:pPr>
              <w:jc w:val="center"/>
              <w:rPr>
                <w:rFonts w:hint="eastAsia" w:eastAsiaTheme="minorEastAsia"/>
                <w:vertAlign w:val="baseline"/>
                <w:lang w:val="en-US" w:eastAsia="zh-CN"/>
              </w:rPr>
            </w:pPr>
            <w:bookmarkStart w:id="79" w:name="_Toc5007"/>
            <w:bookmarkStart w:id="80" w:name="_Toc21659"/>
            <w:bookmarkStart w:id="81" w:name="_Toc25461"/>
            <w:bookmarkStart w:id="82" w:name="_Toc19890"/>
            <w:r>
              <w:rPr>
                <w:rFonts w:hint="eastAsia"/>
                <w:vertAlign w:val="baseline"/>
                <w:lang w:val="en-US" w:eastAsia="zh-CN"/>
              </w:rPr>
              <w:t>主、客观项</w:t>
            </w:r>
          </w:p>
        </w:tc>
        <w:tc>
          <w:tcPr>
            <w:tcW w:w="838" w:type="dxa"/>
            <w:vAlign w:val="center"/>
          </w:tcPr>
          <w:p>
            <w:pPr>
              <w:jc w:val="center"/>
              <w:rPr>
                <w:rFonts w:hint="eastAsia" w:eastAsiaTheme="minorEastAsia"/>
                <w:vertAlign w:val="baseline"/>
                <w:lang w:val="en-US" w:eastAsia="zh-CN"/>
              </w:rPr>
            </w:pPr>
            <w:r>
              <w:rPr>
                <w:rFonts w:hint="eastAsia"/>
                <w:vertAlign w:val="baseline"/>
                <w:lang w:val="en-US" w:eastAsia="zh-CN"/>
              </w:rPr>
              <w:t>评分项</w:t>
            </w:r>
          </w:p>
        </w:tc>
        <w:tc>
          <w:tcPr>
            <w:tcW w:w="933" w:type="dxa"/>
            <w:vAlign w:val="center"/>
          </w:tcPr>
          <w:p>
            <w:pPr>
              <w:jc w:val="center"/>
              <w:rPr>
                <w:rFonts w:hint="eastAsia" w:eastAsiaTheme="minorEastAsia"/>
                <w:vertAlign w:val="baseline"/>
                <w:lang w:val="en-US" w:eastAsia="zh-CN"/>
              </w:rPr>
            </w:pPr>
            <w:r>
              <w:rPr>
                <w:rFonts w:hint="eastAsia"/>
                <w:vertAlign w:val="baseline"/>
                <w:lang w:val="en-US" w:eastAsia="zh-CN"/>
              </w:rPr>
              <w:t>名称</w:t>
            </w:r>
          </w:p>
        </w:tc>
        <w:tc>
          <w:tcPr>
            <w:tcW w:w="5907" w:type="dxa"/>
            <w:vAlign w:val="center"/>
          </w:tcPr>
          <w:p>
            <w:pPr>
              <w:jc w:val="left"/>
              <w:rPr>
                <w:rFonts w:hint="eastAsia" w:eastAsiaTheme="minorEastAsia"/>
                <w:vertAlign w:val="baseline"/>
                <w:lang w:val="en-US" w:eastAsia="zh-CN"/>
              </w:rPr>
            </w:pPr>
            <w:r>
              <w:rPr>
                <w:rFonts w:hint="eastAsia"/>
                <w:vertAlign w:val="baseline"/>
                <w:lang w:val="en-US" w:eastAsia="zh-CN"/>
              </w:rPr>
              <w:t>评分标准（同一指标不得重复打分，*</w:t>
            </w:r>
            <w:r>
              <w:rPr>
                <w:rFonts w:hint="eastAsia" w:ascii="宋体" w:hAnsi="宋体" w:eastAsia="宋体" w:cs="宋体"/>
                <w:vertAlign w:val="baseline"/>
                <w:lang w:val="en-US" w:eastAsia="zh-CN"/>
              </w:rPr>
              <w:t>代表实质性指标，不满足该指标项将导致投标被拒绝</w:t>
            </w:r>
            <w:r>
              <w:rPr>
                <w:rFonts w:hint="eastAsia"/>
                <w:vertAlign w:val="baseline"/>
                <w:lang w:val="en-US" w:eastAsia="zh-CN"/>
              </w:rPr>
              <w:t>）</w:t>
            </w:r>
          </w:p>
        </w:tc>
        <w:tc>
          <w:tcPr>
            <w:tcW w:w="804" w:type="dxa"/>
            <w:vAlign w:val="center"/>
          </w:tcPr>
          <w:p>
            <w:pPr>
              <w:jc w:val="center"/>
              <w:rPr>
                <w:rFonts w:hint="eastAsia" w:eastAsiaTheme="minorEastAsia"/>
                <w:vertAlign w:val="baseline"/>
                <w:lang w:val="en-US" w:eastAsia="zh-CN"/>
              </w:rPr>
            </w:pPr>
            <w:r>
              <w:rPr>
                <w:rFonts w:hint="eastAsia"/>
                <w:vertAlign w:val="baseline"/>
                <w:lang w:val="en-US" w:eastAsia="zh-CN"/>
              </w:rPr>
              <w:t>分值范围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1061" w:type="dxa"/>
            <w:vMerge w:val="restart"/>
            <w:vAlign w:val="center"/>
          </w:tcPr>
          <w:p>
            <w:pPr>
              <w:jc w:val="center"/>
              <w:rPr>
                <w:rFonts w:hint="default" w:eastAsia="宋体"/>
                <w:vertAlign w:val="baseline"/>
                <w:lang w:val="en-US" w:eastAsia="zh-CN"/>
              </w:rPr>
            </w:pPr>
            <w:r>
              <w:rPr>
                <w:rFonts w:hint="eastAsia" w:cs="Times New Roman"/>
                <w:vertAlign w:val="baseline"/>
                <w:lang w:val="en-US" w:eastAsia="zh-CN"/>
              </w:rPr>
              <w:t>客观分</w:t>
            </w:r>
          </w:p>
        </w:tc>
        <w:tc>
          <w:tcPr>
            <w:tcW w:w="838" w:type="dxa"/>
            <w:vAlign w:val="center"/>
          </w:tcPr>
          <w:p>
            <w:pPr>
              <w:jc w:val="center"/>
              <w:rPr>
                <w:vertAlign w:val="baseline"/>
              </w:rPr>
            </w:pPr>
            <w:r>
              <w:rPr>
                <w:rFonts w:hint="eastAsia"/>
                <w:vertAlign w:val="baseline"/>
                <w:lang w:val="en-US" w:eastAsia="zh-CN"/>
              </w:rPr>
              <w:t>价格评审指标</w:t>
            </w:r>
          </w:p>
        </w:tc>
        <w:tc>
          <w:tcPr>
            <w:tcW w:w="933" w:type="dxa"/>
            <w:vAlign w:val="center"/>
          </w:tcPr>
          <w:p>
            <w:pPr>
              <w:keepNext w:val="0"/>
              <w:keepLines w:val="0"/>
              <w:pageBreakBefore w:val="0"/>
              <w:widowControl/>
              <w:kinsoku/>
              <w:wordWrap/>
              <w:overflowPunct/>
              <w:topLinePunct w:val="0"/>
              <w:autoSpaceDE/>
              <w:autoSpaceDN/>
              <w:bidi w:val="0"/>
              <w:snapToGrid w:val="0"/>
              <w:spacing w:line="30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投标</w:t>
            </w:r>
          </w:p>
          <w:p>
            <w:pPr>
              <w:jc w:val="center"/>
              <w:rPr>
                <w:rFonts w:hint="eastAsia" w:eastAsiaTheme="minorEastAsia"/>
                <w:vertAlign w:val="baseline"/>
                <w:lang w:val="en-US" w:eastAsia="zh-CN"/>
              </w:rPr>
            </w:pPr>
            <w:r>
              <w:rPr>
                <w:rFonts w:hint="eastAsia" w:ascii="宋体" w:hAnsi="宋体" w:eastAsia="宋体" w:cs="宋体"/>
                <w:kern w:val="0"/>
                <w:sz w:val="21"/>
                <w:szCs w:val="21"/>
              </w:rPr>
              <w:t>报价</w:t>
            </w:r>
          </w:p>
        </w:tc>
        <w:tc>
          <w:tcPr>
            <w:tcW w:w="5907" w:type="dxa"/>
            <w:vAlign w:val="center"/>
          </w:tcPr>
          <w:p>
            <w:pPr>
              <w:jc w:val="left"/>
              <w:rPr>
                <w:rFonts w:hint="eastAsia" w:eastAsiaTheme="minorEastAsia"/>
                <w:vertAlign w:val="baseline"/>
                <w:lang w:val="en-US" w:eastAsia="zh-CN"/>
              </w:rPr>
            </w:pPr>
            <w:r>
              <w:rPr>
                <w:rFonts w:hint="eastAsia"/>
                <w:vertAlign w:val="baseline"/>
                <w:lang w:val="en-US" w:eastAsia="zh-CN"/>
              </w:rPr>
              <w:t>满足招标文件要求且投标价格最低的投标报价为评标基准价，其价格分为满分。其他投标人的价格分统一按照下列公式计算：投标报价得分=（评标基准价/投标报价）×30%×100</w:t>
            </w:r>
          </w:p>
        </w:tc>
        <w:tc>
          <w:tcPr>
            <w:tcW w:w="804" w:type="dxa"/>
            <w:vAlign w:val="center"/>
          </w:tcPr>
          <w:p>
            <w:pPr>
              <w:jc w:val="center"/>
              <w:rPr>
                <w:rFonts w:hint="eastAsia" w:eastAsiaTheme="minorEastAsia"/>
                <w:vertAlign w:val="baseline"/>
                <w:lang w:val="en-US" w:eastAsia="zh-CN"/>
              </w:rPr>
            </w:pPr>
            <w:r>
              <w:rPr>
                <w:rFonts w:hint="eastAsia"/>
                <w:vertAlign w:val="baseline"/>
                <w:lang w:val="en-US" w:eastAsia="zh-CN"/>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061" w:type="dxa"/>
            <w:vMerge w:val="continue"/>
            <w:vAlign w:val="center"/>
          </w:tcPr>
          <w:p>
            <w:pPr>
              <w:jc w:val="center"/>
              <w:rPr>
                <w:vertAlign w:val="baseline"/>
              </w:rPr>
            </w:pPr>
          </w:p>
        </w:tc>
        <w:tc>
          <w:tcPr>
            <w:tcW w:w="838" w:type="dxa"/>
            <w:vAlign w:val="center"/>
          </w:tcPr>
          <w:p>
            <w:pPr>
              <w:jc w:val="center"/>
              <w:rPr>
                <w:rFonts w:hint="eastAsia" w:eastAsiaTheme="minorEastAsia"/>
                <w:vertAlign w:val="baseline"/>
                <w:lang w:val="en-US" w:eastAsia="zh-CN"/>
              </w:rPr>
            </w:pPr>
            <w:r>
              <w:rPr>
                <w:rFonts w:hint="eastAsia" w:eastAsiaTheme="minorEastAsia"/>
                <w:vertAlign w:val="baseline"/>
                <w:lang w:val="en-US" w:eastAsia="zh-CN"/>
              </w:rPr>
              <w:t>企业实力</w:t>
            </w:r>
          </w:p>
        </w:tc>
        <w:tc>
          <w:tcPr>
            <w:tcW w:w="933" w:type="dxa"/>
            <w:vAlign w:val="center"/>
          </w:tcPr>
          <w:p>
            <w:pPr>
              <w:jc w:val="center"/>
              <w:rPr>
                <w:rFonts w:hint="eastAsia" w:eastAsia="宋体" w:cs="Times New Roman"/>
                <w:vertAlign w:val="baseline"/>
                <w:lang w:val="en-US" w:eastAsia="zh-CN"/>
              </w:rPr>
            </w:pPr>
            <w:r>
              <w:rPr>
                <w:rFonts w:hint="eastAsia" w:eastAsia="宋体" w:cs="Times New Roman"/>
                <w:vertAlign w:val="baseline"/>
                <w:lang w:val="en-US" w:eastAsia="zh-CN"/>
              </w:rPr>
              <w:t>业绩</w:t>
            </w:r>
          </w:p>
        </w:tc>
        <w:tc>
          <w:tcPr>
            <w:tcW w:w="5907" w:type="dxa"/>
            <w:vAlign w:val="center"/>
          </w:tcPr>
          <w:p>
            <w:pPr>
              <w:keepNext w:val="0"/>
              <w:keepLines w:val="0"/>
              <w:pageBreakBefore w:val="0"/>
              <w:kinsoku/>
              <w:wordWrap/>
              <w:overflowPunct/>
              <w:topLinePunct w:val="0"/>
              <w:autoSpaceDE/>
              <w:autoSpaceDN/>
              <w:bidi w:val="0"/>
              <w:snapToGrid w:val="0"/>
              <w:spacing w:line="300" w:lineRule="auto"/>
              <w:jc w:val="left"/>
              <w:textAlignment w:val="auto"/>
              <w:rPr>
                <w:rFonts w:ascii="宋体" w:hAnsi="宋体" w:cs="宋体"/>
                <w:szCs w:val="21"/>
                <w:highlight w:val="none"/>
              </w:rPr>
            </w:pPr>
            <w:r>
              <w:rPr>
                <w:rFonts w:hint="eastAsia" w:eastAsia="宋体" w:cs="Times New Roman"/>
                <w:highlight w:val="none"/>
                <w:vertAlign w:val="baseline"/>
                <w:lang w:val="en-US" w:eastAsia="zh-CN"/>
              </w:rPr>
              <w:t>投标单位202</w:t>
            </w:r>
            <w:r>
              <w:rPr>
                <w:rFonts w:hint="eastAsia" w:cs="Times New Roman"/>
                <w:highlight w:val="none"/>
                <w:vertAlign w:val="baseline"/>
                <w:lang w:val="en-US" w:eastAsia="zh-CN"/>
              </w:rPr>
              <w:t>0</w:t>
            </w:r>
            <w:r>
              <w:rPr>
                <w:rFonts w:hint="eastAsia" w:eastAsia="宋体" w:cs="Times New Roman"/>
                <w:highlight w:val="none"/>
                <w:vertAlign w:val="baseline"/>
                <w:lang w:val="en-US" w:eastAsia="zh-CN"/>
              </w:rPr>
              <w:t>年1月1日至今完成</w:t>
            </w:r>
            <w:r>
              <w:rPr>
                <w:rFonts w:hint="eastAsia" w:cs="Times New Roman"/>
                <w:highlight w:val="none"/>
                <w:vertAlign w:val="baseline"/>
                <w:lang w:val="en-US" w:eastAsia="zh-CN"/>
              </w:rPr>
              <w:t>的</w:t>
            </w:r>
            <w:r>
              <w:rPr>
                <w:rFonts w:hint="eastAsia" w:cs="Times New Roman"/>
                <w:b/>
                <w:bCs/>
                <w:highlight w:val="none"/>
                <w:vertAlign w:val="baseline"/>
                <w:lang w:val="en-US" w:eastAsia="zh-CN"/>
              </w:rPr>
              <w:t>所投产品</w:t>
            </w:r>
            <w:r>
              <w:rPr>
                <w:rFonts w:hint="eastAsia" w:cs="Times New Roman"/>
                <w:highlight w:val="none"/>
                <w:vertAlign w:val="baseline"/>
                <w:lang w:val="en-US" w:eastAsia="zh-CN"/>
              </w:rPr>
              <w:t>的</w:t>
            </w:r>
            <w:r>
              <w:rPr>
                <w:rFonts w:hint="eastAsia" w:eastAsia="宋体" w:cs="Times New Roman"/>
                <w:highlight w:val="none"/>
                <w:vertAlign w:val="baseline"/>
                <w:lang w:val="en-US" w:eastAsia="zh-CN"/>
              </w:rPr>
              <w:t>业绩，每提供一项得1分，最高得5分。</w:t>
            </w:r>
            <w:r>
              <w:rPr>
                <w:rFonts w:hint="eastAsia" w:ascii="宋体" w:hAnsi="宋体" w:cs="宋体"/>
                <w:szCs w:val="21"/>
              </w:rPr>
              <w:t>每份业绩的证明材料须齐</w:t>
            </w:r>
            <w:r>
              <w:rPr>
                <w:rFonts w:hint="eastAsia" w:ascii="宋体" w:hAnsi="宋体" w:cs="宋体"/>
                <w:szCs w:val="21"/>
                <w:highlight w:val="none"/>
              </w:rPr>
              <w:t>全，发票存根的付款方、品目和数量等信息须与合同一致，否则该份业绩不予计分。</w:t>
            </w:r>
          </w:p>
          <w:p>
            <w:pPr>
              <w:jc w:val="left"/>
              <w:rPr>
                <w:rFonts w:hint="eastAsia" w:eastAsia="宋体" w:cs="Times New Roman"/>
                <w:b/>
                <w:bCs/>
                <w:highlight w:val="none"/>
                <w:vertAlign w:val="baseline"/>
                <w:lang w:val="en-US" w:eastAsia="zh-CN"/>
              </w:rPr>
            </w:pPr>
            <w:r>
              <w:rPr>
                <w:rFonts w:hint="eastAsia" w:eastAsia="宋体" w:cs="Times New Roman"/>
                <w:highlight w:val="none"/>
                <w:vertAlign w:val="baseline"/>
                <w:lang w:val="en-US" w:eastAsia="zh-CN"/>
              </w:rPr>
              <w:t>评分依据：</w:t>
            </w:r>
            <w:r>
              <w:rPr>
                <w:rFonts w:hint="eastAsia" w:ascii="宋体" w:hAnsi="宋体" w:cs="宋体"/>
                <w:szCs w:val="21"/>
                <w:highlight w:val="none"/>
              </w:rPr>
              <w:t>投标人需提供每份业绩的</w:t>
            </w:r>
            <w:r>
              <w:rPr>
                <w:rFonts w:hint="eastAsia" w:ascii="宋体" w:hAnsi="宋体" w:cs="宋体"/>
                <w:b/>
                <w:bCs/>
                <w:szCs w:val="21"/>
                <w:highlight w:val="none"/>
              </w:rPr>
              <w:t>销售合同、对应的发票及验收合格证明</w:t>
            </w:r>
            <w:r>
              <w:rPr>
                <w:rFonts w:hint="eastAsia" w:ascii="宋体" w:hAnsi="宋体" w:cs="宋体"/>
                <w:szCs w:val="21"/>
                <w:highlight w:val="none"/>
              </w:rPr>
              <w:t>的复印件加盖公章。</w:t>
            </w:r>
          </w:p>
          <w:p>
            <w:pPr>
              <w:jc w:val="left"/>
              <w:rPr>
                <w:rFonts w:hint="eastAsia" w:eastAsia="宋体" w:cs="Times New Roman"/>
                <w:vertAlign w:val="baseline"/>
                <w:lang w:val="en-US" w:eastAsia="zh-CN"/>
              </w:rPr>
            </w:pPr>
            <w:r>
              <w:rPr>
                <w:rFonts w:hint="eastAsia" w:eastAsia="宋体" w:cs="Times New Roman"/>
                <w:highlight w:val="none"/>
                <w:vertAlign w:val="baseline"/>
                <w:lang w:val="en-US" w:eastAsia="zh-CN"/>
              </w:rPr>
              <w:t>注：如业绩为集采项目，提供同一中标通知书及分项合同，业绩仅计为1项。</w:t>
            </w:r>
            <w:r>
              <w:rPr>
                <w:rFonts w:hint="eastAsia" w:cs="Times New Roman"/>
                <w:b/>
                <w:bCs/>
                <w:highlight w:val="none"/>
                <w:vertAlign w:val="baseline"/>
                <w:lang w:val="en-US" w:eastAsia="zh-CN"/>
              </w:rPr>
              <w:t>非单一产品采购的项目，要求提供的所投业绩为核心产品业绩。核心产品详见投标人须知前附表。</w:t>
            </w:r>
          </w:p>
        </w:tc>
        <w:tc>
          <w:tcPr>
            <w:tcW w:w="804" w:type="dxa"/>
            <w:vAlign w:val="center"/>
          </w:tcPr>
          <w:p>
            <w:pPr>
              <w:jc w:val="center"/>
              <w:rPr>
                <w:rFonts w:hint="default" w:eastAsiaTheme="minorEastAsia"/>
                <w:vertAlign w:val="baseline"/>
                <w:lang w:val="en-US" w:eastAsia="zh-CN"/>
              </w:rPr>
            </w:pPr>
            <w:r>
              <w:rPr>
                <w:rFonts w:hint="eastAsia" w:eastAsiaTheme="minorEastAsia"/>
                <w:highlight w:val="none"/>
                <w:vertAlign w:val="baseli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7" w:hRule="atLeast"/>
        </w:trPr>
        <w:tc>
          <w:tcPr>
            <w:tcW w:w="1061" w:type="dxa"/>
            <w:vMerge w:val="continue"/>
            <w:vAlign w:val="center"/>
          </w:tcPr>
          <w:p>
            <w:pPr>
              <w:jc w:val="center"/>
              <w:rPr>
                <w:vertAlign w:val="baseline"/>
              </w:rPr>
            </w:pPr>
          </w:p>
        </w:tc>
        <w:tc>
          <w:tcPr>
            <w:tcW w:w="838" w:type="dxa"/>
            <w:vMerge w:val="restart"/>
            <w:vAlign w:val="center"/>
          </w:tcPr>
          <w:p>
            <w:pPr>
              <w:jc w:val="center"/>
              <w:rPr>
                <w:rFonts w:hint="eastAsia" w:ascii="Calibri" w:hAnsi="Calibri" w:eastAsia="宋体" w:cs="Times New Roman"/>
                <w:kern w:val="2"/>
                <w:sz w:val="21"/>
                <w:szCs w:val="24"/>
                <w:highlight w:val="none"/>
                <w:vertAlign w:val="baseline"/>
                <w:lang w:val="en-US" w:eastAsia="zh-CN" w:bidi="ar-SA"/>
              </w:rPr>
            </w:pPr>
            <w:r>
              <w:rPr>
                <w:rFonts w:hint="eastAsia"/>
                <w:highlight w:val="none"/>
                <w:vertAlign w:val="baseline"/>
                <w:lang w:val="en-US" w:eastAsia="zh-CN"/>
              </w:rPr>
              <w:t>技术部分</w:t>
            </w:r>
          </w:p>
        </w:tc>
        <w:tc>
          <w:tcPr>
            <w:tcW w:w="933" w:type="dxa"/>
            <w:vAlign w:val="center"/>
          </w:tcPr>
          <w:p>
            <w:pPr>
              <w:jc w:val="center"/>
              <w:rPr>
                <w:rFonts w:hint="eastAsia" w:ascii="Calibri" w:hAnsi="Calibri" w:cs="Times New Roman" w:eastAsiaTheme="minorEastAsia"/>
                <w:kern w:val="2"/>
                <w:sz w:val="21"/>
                <w:szCs w:val="24"/>
                <w:highlight w:val="none"/>
                <w:vertAlign w:val="baseline"/>
                <w:lang w:val="en-US" w:eastAsia="zh-CN" w:bidi="ar-SA"/>
              </w:rPr>
            </w:pPr>
            <w:r>
              <w:rPr>
                <w:rFonts w:hint="eastAsia"/>
                <w:highlight w:val="none"/>
                <w:vertAlign w:val="baseline"/>
                <w:lang w:val="en-US" w:eastAsia="zh-CN"/>
              </w:rPr>
              <w:t>满足采购需求一般指标情况</w:t>
            </w:r>
          </w:p>
        </w:tc>
        <w:tc>
          <w:tcPr>
            <w:tcW w:w="5907" w:type="dxa"/>
            <w:vAlign w:val="center"/>
          </w:tcPr>
          <w:p>
            <w:pPr>
              <w:keepNext w:val="0"/>
              <w:keepLines w:val="0"/>
              <w:pageBreakBefore w:val="0"/>
              <w:kinsoku/>
              <w:wordWrap/>
              <w:overflowPunct/>
              <w:topLinePunct w:val="0"/>
              <w:autoSpaceDE/>
              <w:autoSpaceDN/>
              <w:bidi w:val="0"/>
              <w:snapToGrid w:val="0"/>
              <w:spacing w:line="300" w:lineRule="auto"/>
              <w:jc w:val="left"/>
              <w:textAlignment w:val="auto"/>
              <w:rPr>
                <w:rFonts w:hint="eastAsia" w:ascii="宋体" w:hAnsi="宋体" w:cs="宋体"/>
                <w:szCs w:val="21"/>
                <w:highlight w:val="none"/>
                <w:lang w:val="en-US" w:eastAsia="zh-CN"/>
              </w:rPr>
            </w:pPr>
            <w:r>
              <w:rPr>
                <w:rFonts w:hint="eastAsia" w:ascii="宋体" w:hAnsi="宋体" w:cs="宋体"/>
                <w:szCs w:val="21"/>
                <w:highlight w:val="none"/>
              </w:rPr>
              <w:t>就投标文件对招标文件</w:t>
            </w:r>
            <w:r>
              <w:rPr>
                <w:rFonts w:hint="eastAsia" w:ascii="宋体" w:hAnsi="宋体" w:cs="宋体"/>
                <w:szCs w:val="21"/>
                <w:highlight w:val="none"/>
                <w:lang w:val="en-US" w:eastAsia="zh-CN"/>
              </w:rPr>
              <w:t>技术需求书中</w:t>
            </w:r>
            <w:r>
              <w:rPr>
                <w:rFonts w:hint="eastAsia" w:ascii="宋体" w:hAnsi="宋体" w:cs="宋体"/>
                <w:szCs w:val="21"/>
                <w:highlight w:val="none"/>
              </w:rPr>
              <w:t>技术参数的响应进行评审，完全满足招标文件技术要求的得</w:t>
            </w:r>
            <w:r>
              <w:rPr>
                <w:rFonts w:hint="eastAsia" w:ascii="宋体" w:hAnsi="宋体" w:cs="宋体"/>
                <w:szCs w:val="21"/>
                <w:highlight w:val="none"/>
                <w:lang w:val="en-US" w:eastAsia="zh-CN"/>
              </w:rPr>
              <w:t>35</w:t>
            </w:r>
            <w:r>
              <w:rPr>
                <w:rFonts w:hint="eastAsia" w:ascii="宋体" w:hAnsi="宋体" w:cs="宋体"/>
                <w:szCs w:val="21"/>
                <w:highlight w:val="none"/>
              </w:rPr>
              <w:t>分，</w:t>
            </w:r>
            <w:r>
              <w:rPr>
                <w:color w:val="auto"/>
                <w:szCs w:val="22"/>
                <w:highlight w:val="none"/>
              </w:rPr>
              <w:t>每有一项</w:t>
            </w:r>
            <w:r>
              <w:rPr>
                <w:rFonts w:hint="eastAsia"/>
                <w:color w:val="auto"/>
                <w:szCs w:val="22"/>
                <w:highlight w:val="none"/>
                <w:lang w:eastAsia="zh-CN"/>
              </w:rPr>
              <w:t>*</w:t>
            </w:r>
            <w:r>
              <w:rPr>
                <w:color w:val="auto"/>
                <w:szCs w:val="22"/>
                <w:highlight w:val="none"/>
              </w:rPr>
              <w:t>号条款负偏离，将导致其投标被否决；每有一项</w:t>
            </w:r>
            <w:r>
              <w:rPr>
                <w:rFonts w:hint="eastAsia"/>
                <w:color w:val="auto"/>
                <w:szCs w:val="22"/>
                <w:highlight w:val="none"/>
              </w:rPr>
              <w:t>★</w:t>
            </w:r>
            <w:r>
              <w:rPr>
                <w:rFonts w:hint="eastAsia"/>
                <w:color w:val="auto"/>
                <w:szCs w:val="22"/>
                <w:highlight w:val="none"/>
                <w:lang w:val="en-US" w:eastAsia="zh-CN"/>
              </w:rPr>
              <w:t>条款</w:t>
            </w:r>
            <w:r>
              <w:rPr>
                <w:color w:val="auto"/>
                <w:szCs w:val="22"/>
                <w:highlight w:val="none"/>
              </w:rPr>
              <w:t>负偏离扣</w:t>
            </w:r>
            <w:r>
              <w:rPr>
                <w:rFonts w:hint="eastAsia"/>
                <w:color w:val="auto"/>
                <w:szCs w:val="22"/>
                <w:highlight w:val="none"/>
                <w:lang w:val="en-US" w:eastAsia="zh-CN"/>
              </w:rPr>
              <w:t>3</w:t>
            </w:r>
            <w:r>
              <w:rPr>
                <w:color w:val="auto"/>
                <w:szCs w:val="22"/>
                <w:highlight w:val="none"/>
              </w:rPr>
              <w:t>分，非</w:t>
            </w:r>
            <w:r>
              <w:rPr>
                <w:rFonts w:hint="eastAsia"/>
                <w:color w:val="auto"/>
                <w:szCs w:val="22"/>
                <w:highlight w:val="none"/>
                <w:lang w:eastAsia="zh-CN"/>
              </w:rPr>
              <w:t>*、</w:t>
            </w:r>
            <w:r>
              <w:rPr>
                <w:rFonts w:hint="eastAsia"/>
                <w:color w:val="auto"/>
                <w:szCs w:val="22"/>
                <w:highlight w:val="none"/>
                <w:lang w:val="en-US" w:eastAsia="zh-CN"/>
              </w:rPr>
              <w:t>非</w:t>
            </w:r>
            <w:r>
              <w:rPr>
                <w:rFonts w:hint="eastAsia"/>
                <w:color w:val="auto"/>
                <w:szCs w:val="22"/>
                <w:highlight w:val="none"/>
              </w:rPr>
              <w:t>★</w:t>
            </w:r>
            <w:r>
              <w:rPr>
                <w:color w:val="auto"/>
                <w:szCs w:val="22"/>
                <w:highlight w:val="none"/>
              </w:rPr>
              <w:t>条款每有一项负偏离扣</w:t>
            </w:r>
            <w:r>
              <w:rPr>
                <w:rFonts w:hint="eastAsia"/>
                <w:color w:val="auto"/>
                <w:szCs w:val="22"/>
                <w:highlight w:val="none"/>
                <w:lang w:val="en-US" w:eastAsia="zh-CN"/>
              </w:rPr>
              <w:t>2</w:t>
            </w:r>
            <w:r>
              <w:rPr>
                <w:color w:val="auto"/>
                <w:szCs w:val="22"/>
                <w:highlight w:val="none"/>
              </w:rPr>
              <w:t>分</w:t>
            </w:r>
            <w:r>
              <w:rPr>
                <w:rFonts w:hint="eastAsia" w:ascii="宋体" w:hAnsi="宋体" w:cs="宋体"/>
                <w:szCs w:val="21"/>
                <w:highlight w:val="none"/>
              </w:rPr>
              <w:t>，最低得0分。</w:t>
            </w:r>
            <w:r>
              <w:rPr>
                <w:rFonts w:hint="eastAsia" w:ascii="宋体" w:hAnsi="宋体" w:cs="宋体"/>
                <w:szCs w:val="21"/>
                <w:highlight w:val="none"/>
                <w:lang w:val="en-US" w:eastAsia="zh-CN"/>
              </w:rPr>
              <w:t>“1项”包括技术需求书中最低层级的序号项。</w:t>
            </w:r>
          </w:p>
          <w:p>
            <w:pPr>
              <w:jc w:val="left"/>
              <w:rPr>
                <w:rFonts w:hint="eastAsia" w:ascii="Calibri" w:hAnsi="Calibri" w:eastAsia="宋体" w:cs="Times New Roman"/>
                <w:kern w:val="2"/>
                <w:sz w:val="21"/>
                <w:szCs w:val="24"/>
                <w:highlight w:val="none"/>
                <w:vertAlign w:val="baseline"/>
                <w:lang w:val="en-US" w:eastAsia="zh-CN" w:bidi="ar-SA"/>
              </w:rPr>
            </w:pPr>
            <w:r>
              <w:rPr>
                <w:rFonts w:hint="eastAsia" w:ascii="宋体" w:hAnsi="宋体" w:eastAsia="宋体" w:cs="宋体"/>
                <w:b/>
                <w:bCs/>
                <w:highlight w:val="none"/>
              </w:rPr>
              <w:t>技术参数</w:t>
            </w:r>
            <w:r>
              <w:rPr>
                <w:rFonts w:hint="eastAsia" w:ascii="宋体" w:hAnsi="宋体" w:cs="宋体"/>
                <w:b/>
                <w:bCs/>
                <w:highlight w:val="none"/>
                <w:lang w:val="en-US" w:eastAsia="zh-CN"/>
              </w:rPr>
              <w:t>偏离</w:t>
            </w:r>
            <w:r>
              <w:rPr>
                <w:rFonts w:hint="eastAsia" w:ascii="宋体" w:hAnsi="宋体" w:eastAsia="宋体" w:cs="宋体"/>
                <w:b/>
                <w:bCs/>
                <w:highlight w:val="none"/>
              </w:rPr>
              <w:t>表中的响应内容，需提供佐证材料，有检测报告的</w:t>
            </w:r>
            <w:r>
              <w:rPr>
                <w:rFonts w:hint="eastAsia" w:ascii="宋体" w:hAnsi="宋体" w:cs="宋体"/>
                <w:b/>
                <w:bCs/>
                <w:highlight w:val="none"/>
                <w:lang w:eastAsia="zh-CN"/>
              </w:rPr>
              <w:t>，</w:t>
            </w:r>
            <w:r>
              <w:rPr>
                <w:rFonts w:hint="eastAsia" w:ascii="宋体" w:hAnsi="宋体" w:eastAsia="宋体" w:cs="宋体"/>
                <w:b/>
                <w:bCs/>
                <w:highlight w:val="none"/>
              </w:rPr>
              <w:t>应提供检测报告；无检测报告的，应提供产品说明的官方截图；无前两项的，可提供经发行的市场产品宣传册。</w:t>
            </w:r>
            <w:r>
              <w:rPr>
                <w:rFonts w:hint="eastAsia" w:ascii="宋体" w:hAnsi="宋体" w:cs="宋体"/>
                <w:b/>
                <w:bCs/>
                <w:highlight w:val="none"/>
                <w:lang w:val="en-US" w:eastAsia="zh-CN"/>
              </w:rPr>
              <w:t>前三项</w:t>
            </w:r>
            <w:r>
              <w:rPr>
                <w:rFonts w:hint="eastAsia" w:ascii="宋体" w:hAnsi="宋体" w:eastAsia="宋体" w:cs="宋体"/>
                <w:b/>
                <w:bCs/>
                <w:highlight w:val="none"/>
              </w:rPr>
              <w:t>未载明的参数，以</w:t>
            </w:r>
            <w:r>
              <w:rPr>
                <w:rFonts w:hint="eastAsia" w:ascii="宋体" w:hAnsi="宋体" w:cs="宋体"/>
                <w:b/>
                <w:bCs/>
                <w:highlight w:val="none"/>
                <w:lang w:val="en-US" w:eastAsia="zh-CN"/>
              </w:rPr>
              <w:t>投标文件载明的参数</w:t>
            </w:r>
            <w:r>
              <w:rPr>
                <w:rFonts w:hint="eastAsia" w:ascii="宋体" w:hAnsi="宋体" w:eastAsia="宋体" w:cs="宋体"/>
                <w:b/>
                <w:bCs/>
                <w:highlight w:val="none"/>
              </w:rPr>
              <w:t>为准。</w:t>
            </w:r>
          </w:p>
        </w:tc>
        <w:tc>
          <w:tcPr>
            <w:tcW w:w="804" w:type="dxa"/>
            <w:vAlign w:val="center"/>
          </w:tcPr>
          <w:p>
            <w:pPr>
              <w:jc w:val="center"/>
              <w:rPr>
                <w:rFonts w:hint="default" w:ascii="Calibri" w:hAnsi="Calibri" w:cs="Times New Roman" w:eastAsiaTheme="minorEastAsia"/>
                <w:kern w:val="2"/>
                <w:sz w:val="21"/>
                <w:szCs w:val="24"/>
                <w:highlight w:val="none"/>
                <w:vertAlign w:val="baseline"/>
                <w:lang w:val="en-US" w:eastAsia="zh-CN" w:bidi="ar-SA"/>
              </w:rPr>
            </w:pPr>
            <w:r>
              <w:rPr>
                <w:rFonts w:hint="eastAsia" w:eastAsiaTheme="minorEastAsia"/>
                <w:highlight w:val="none"/>
                <w:vertAlign w:val="baseline"/>
                <w:lang w:val="en-US" w:eastAsia="zh-CN"/>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9" w:hRule="atLeast"/>
        </w:trPr>
        <w:tc>
          <w:tcPr>
            <w:tcW w:w="1061" w:type="dxa"/>
            <w:vMerge w:val="continue"/>
            <w:vAlign w:val="center"/>
          </w:tcPr>
          <w:p>
            <w:pPr>
              <w:jc w:val="center"/>
              <w:rPr>
                <w:vertAlign w:val="baseline"/>
              </w:rPr>
            </w:pPr>
          </w:p>
        </w:tc>
        <w:tc>
          <w:tcPr>
            <w:tcW w:w="838" w:type="dxa"/>
            <w:vMerge w:val="continue"/>
            <w:vAlign w:val="center"/>
          </w:tcPr>
          <w:p>
            <w:pPr>
              <w:jc w:val="center"/>
              <w:rPr>
                <w:rFonts w:hint="eastAsia"/>
                <w:highlight w:val="yellow"/>
                <w:vertAlign w:val="baseline"/>
                <w:lang w:val="en-US" w:eastAsia="zh-CN"/>
              </w:rPr>
            </w:pPr>
          </w:p>
        </w:tc>
        <w:tc>
          <w:tcPr>
            <w:tcW w:w="933" w:type="dxa"/>
            <w:vAlign w:val="center"/>
          </w:tcPr>
          <w:p>
            <w:pPr>
              <w:jc w:val="center"/>
              <w:rPr>
                <w:rFonts w:hint="eastAsia" w:ascii="Calibri" w:hAnsi="Calibri" w:cs="Times New Roman" w:eastAsiaTheme="minorEastAsia"/>
                <w:kern w:val="2"/>
                <w:sz w:val="21"/>
                <w:szCs w:val="24"/>
                <w:highlight w:val="none"/>
                <w:vertAlign w:val="baseline"/>
                <w:lang w:val="en-US" w:eastAsia="zh-CN" w:bidi="ar-SA"/>
              </w:rPr>
            </w:pPr>
            <w:r>
              <w:rPr>
                <w:rFonts w:hint="eastAsia"/>
                <w:highlight w:val="none"/>
                <w:vertAlign w:val="baseline"/>
                <w:lang w:val="en-US" w:eastAsia="zh-CN"/>
              </w:rPr>
              <w:t>产品图片</w:t>
            </w:r>
          </w:p>
        </w:tc>
        <w:tc>
          <w:tcPr>
            <w:tcW w:w="5907" w:type="dxa"/>
            <w:vAlign w:val="center"/>
          </w:tcPr>
          <w:p>
            <w:pPr>
              <w:jc w:val="left"/>
              <w:rPr>
                <w:rFonts w:hint="eastAsia"/>
                <w:highlight w:val="none"/>
                <w:lang w:val="en-US" w:eastAsia="zh-CN"/>
              </w:rPr>
            </w:pPr>
            <w:r>
              <w:rPr>
                <w:rFonts w:hint="eastAsia"/>
                <w:highlight w:val="none"/>
                <w:lang w:val="en-US" w:eastAsia="zh-CN"/>
              </w:rPr>
              <w:t>投标人需提供全部产品的外观三视图，三视图须为产品实物拍摄</w:t>
            </w:r>
            <w:r>
              <w:rPr>
                <w:rFonts w:hint="eastAsia"/>
                <w:b/>
                <w:bCs/>
                <w:highlight w:val="none"/>
                <w:lang w:val="en-US" w:eastAsia="zh-CN"/>
              </w:rPr>
              <w:t>彩色</w:t>
            </w:r>
            <w:r>
              <w:rPr>
                <w:rFonts w:hint="eastAsia"/>
                <w:highlight w:val="none"/>
                <w:lang w:val="en-US" w:eastAsia="zh-CN"/>
              </w:rPr>
              <w:t>图片</w:t>
            </w:r>
            <w:r>
              <w:rPr>
                <w:rFonts w:hint="eastAsia"/>
                <w:b/>
                <w:bCs/>
                <w:highlight w:val="none"/>
                <w:lang w:val="en-US" w:eastAsia="zh-CN"/>
              </w:rPr>
              <w:t>（体现出品牌和型号）</w:t>
            </w:r>
            <w:r>
              <w:rPr>
                <w:rFonts w:hint="eastAsia"/>
                <w:highlight w:val="none"/>
                <w:lang w:val="en-US" w:eastAsia="zh-CN"/>
              </w:rPr>
              <w:t>，不得使用设计图或效果图。</w:t>
            </w:r>
          </w:p>
          <w:p>
            <w:pPr>
              <w:pStyle w:val="2"/>
              <w:ind w:left="0" w:leftChars="0" w:firstLine="0" w:firstLineChars="0"/>
              <w:rPr>
                <w:rFonts w:hint="default" w:ascii="Calibri" w:hAnsi="Calibri" w:eastAsia="宋体" w:cs="Times New Roman"/>
                <w:kern w:val="2"/>
                <w:sz w:val="21"/>
                <w:szCs w:val="24"/>
                <w:highlight w:val="none"/>
                <w:lang w:val="en-US" w:eastAsia="zh-CN" w:bidi="ar-SA"/>
              </w:rPr>
            </w:pPr>
            <w:r>
              <w:rPr>
                <w:rFonts w:hint="eastAsia"/>
                <w:highlight w:val="none"/>
                <w:vertAlign w:val="baseline"/>
                <w:lang w:val="en-US" w:eastAsia="zh-CN"/>
              </w:rPr>
              <w:t>提供图片齐全、清晰得2分；提供不齐全、不清晰的，每项产品扣1分，最多扣2分。</w:t>
            </w:r>
          </w:p>
        </w:tc>
        <w:tc>
          <w:tcPr>
            <w:tcW w:w="804" w:type="dxa"/>
            <w:vAlign w:val="center"/>
          </w:tcPr>
          <w:p>
            <w:pPr>
              <w:jc w:val="center"/>
              <w:rPr>
                <w:rFonts w:hint="default" w:ascii="Calibri" w:hAnsi="Calibri" w:cs="Times New Roman" w:eastAsiaTheme="minorEastAsia"/>
                <w:kern w:val="2"/>
                <w:sz w:val="21"/>
                <w:szCs w:val="24"/>
                <w:highlight w:val="none"/>
                <w:vertAlign w:val="baseline"/>
                <w:lang w:val="en-US" w:eastAsia="zh-CN" w:bidi="ar-SA"/>
              </w:rPr>
            </w:pPr>
            <w:r>
              <w:rPr>
                <w:rFonts w:hint="eastAsia" w:eastAsiaTheme="minorEastAsia"/>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0" w:hRule="atLeast"/>
        </w:trPr>
        <w:tc>
          <w:tcPr>
            <w:tcW w:w="1061" w:type="dxa"/>
            <w:vMerge w:val="continue"/>
            <w:vAlign w:val="center"/>
          </w:tcPr>
          <w:p>
            <w:pPr>
              <w:jc w:val="center"/>
              <w:rPr>
                <w:rFonts w:hint="eastAsia" w:eastAsiaTheme="minorEastAsia"/>
                <w:vertAlign w:val="baseline"/>
                <w:lang w:val="en-US" w:eastAsia="zh-CN"/>
              </w:rPr>
            </w:pPr>
          </w:p>
        </w:tc>
        <w:tc>
          <w:tcPr>
            <w:tcW w:w="838" w:type="dxa"/>
            <w:vMerge w:val="restart"/>
            <w:vAlign w:val="center"/>
          </w:tcPr>
          <w:p>
            <w:pPr>
              <w:jc w:val="center"/>
              <w:rPr>
                <w:rFonts w:hint="eastAsia"/>
                <w:vertAlign w:val="baseline"/>
                <w:lang w:val="en-US" w:eastAsia="zh-CN"/>
              </w:rPr>
            </w:pPr>
            <w:r>
              <w:rPr>
                <w:rFonts w:hint="eastAsia"/>
                <w:vertAlign w:val="baseline"/>
                <w:lang w:val="en-US" w:eastAsia="zh-CN"/>
              </w:rPr>
              <w:t>服务部分</w:t>
            </w:r>
          </w:p>
        </w:tc>
        <w:tc>
          <w:tcPr>
            <w:tcW w:w="933" w:type="dxa"/>
            <w:vAlign w:val="center"/>
          </w:tcPr>
          <w:p>
            <w:pPr>
              <w:jc w:val="center"/>
              <w:rPr>
                <w:rFonts w:hint="eastAsia" w:ascii="Calibri" w:hAnsi="Calibri" w:cs="Times New Roman" w:eastAsiaTheme="minorEastAsia"/>
                <w:kern w:val="2"/>
                <w:sz w:val="21"/>
                <w:szCs w:val="24"/>
                <w:highlight w:val="none"/>
                <w:vertAlign w:val="baseline"/>
                <w:lang w:val="en-US" w:eastAsia="zh-CN" w:bidi="ar-SA"/>
              </w:rPr>
            </w:pPr>
            <w:r>
              <w:rPr>
                <w:rFonts w:hint="eastAsia" w:ascii="宋体" w:hAnsi="宋体" w:cs="宋体"/>
                <w:color w:val="000000"/>
                <w:szCs w:val="21"/>
                <w:highlight w:val="none"/>
              </w:rPr>
              <w:t>履约能力评审</w:t>
            </w:r>
          </w:p>
        </w:tc>
        <w:tc>
          <w:tcPr>
            <w:tcW w:w="5907" w:type="dxa"/>
            <w:vAlign w:val="center"/>
          </w:tcPr>
          <w:p>
            <w:pPr>
              <w:keepNext w:val="0"/>
              <w:keepLines w:val="0"/>
              <w:pageBreakBefore w:val="0"/>
              <w:kinsoku/>
              <w:wordWrap/>
              <w:overflowPunct/>
              <w:topLinePunct w:val="0"/>
              <w:autoSpaceDE/>
              <w:autoSpaceDN/>
              <w:bidi w:val="0"/>
              <w:snapToGrid w:val="0"/>
              <w:spacing w:line="300" w:lineRule="auto"/>
              <w:jc w:val="left"/>
              <w:textAlignment w:val="auto"/>
              <w:rPr>
                <w:rFonts w:ascii="宋体" w:hAnsi="宋体" w:cs="宋体"/>
                <w:b/>
                <w:bCs/>
                <w:color w:val="000000"/>
                <w:szCs w:val="21"/>
                <w:highlight w:val="none"/>
              </w:rPr>
            </w:pPr>
            <w:r>
              <w:rPr>
                <w:rFonts w:hint="eastAsia" w:ascii="宋体" w:hAnsi="宋体" w:cs="宋体"/>
                <w:b/>
                <w:bCs/>
                <w:color w:val="000000"/>
                <w:szCs w:val="21"/>
                <w:highlight w:val="none"/>
              </w:rPr>
              <w:t>对投标人提供的履约方案就以下因素进行评审：</w:t>
            </w:r>
          </w:p>
          <w:p>
            <w:pPr>
              <w:keepNext w:val="0"/>
              <w:keepLines w:val="0"/>
              <w:pageBreakBefore w:val="0"/>
              <w:numPr>
                <w:ilvl w:val="0"/>
                <w:numId w:val="5"/>
              </w:numPr>
              <w:kinsoku/>
              <w:wordWrap/>
              <w:overflowPunct/>
              <w:topLinePunct w:val="0"/>
              <w:autoSpaceDE/>
              <w:autoSpaceDN/>
              <w:bidi w:val="0"/>
              <w:snapToGrid w:val="0"/>
              <w:spacing w:line="300" w:lineRule="auto"/>
              <w:jc w:val="left"/>
              <w:textAlignment w:val="auto"/>
              <w:rPr>
                <w:rFonts w:ascii="宋体" w:hAnsi="宋体" w:cs="宋体"/>
                <w:b w:val="0"/>
                <w:bCs w:val="0"/>
                <w:color w:val="000000"/>
                <w:szCs w:val="21"/>
                <w:highlight w:val="none"/>
              </w:rPr>
            </w:pPr>
            <w:r>
              <w:rPr>
                <w:rFonts w:hint="eastAsia" w:ascii="宋体" w:hAnsi="宋体" w:cs="宋体"/>
                <w:b w:val="0"/>
                <w:bCs w:val="0"/>
                <w:color w:val="000000"/>
                <w:szCs w:val="21"/>
                <w:highlight w:val="none"/>
                <w:lang w:val="en-US" w:eastAsia="zh-CN"/>
              </w:rPr>
              <w:t>投标人</w:t>
            </w:r>
            <w:r>
              <w:rPr>
                <w:rFonts w:hint="eastAsia" w:ascii="宋体" w:hAnsi="宋体" w:cs="宋体"/>
                <w:b w:val="0"/>
                <w:bCs w:val="0"/>
                <w:color w:val="000000"/>
                <w:szCs w:val="21"/>
                <w:highlight w:val="none"/>
              </w:rPr>
              <w:t>的</w:t>
            </w:r>
            <w:r>
              <w:rPr>
                <w:rFonts w:hint="eastAsia" w:ascii="宋体" w:hAnsi="宋体" w:cs="宋体"/>
                <w:b w:val="0"/>
                <w:bCs w:val="0"/>
                <w:szCs w:val="21"/>
                <w:highlight w:val="none"/>
              </w:rPr>
              <w:t>服务范围、覆盖区域、服务类型和服务流程</w:t>
            </w:r>
            <w:r>
              <w:rPr>
                <w:rFonts w:hint="eastAsia" w:ascii="宋体" w:hAnsi="宋体" w:cs="宋体"/>
                <w:b w:val="0"/>
                <w:bCs w:val="0"/>
                <w:szCs w:val="21"/>
                <w:highlight w:val="none"/>
                <w:lang w:val="en-US" w:eastAsia="zh-CN"/>
              </w:rPr>
              <w:t>优于或完全符合项目采购需求，</w:t>
            </w:r>
            <w:r>
              <w:rPr>
                <w:rFonts w:hint="eastAsia" w:ascii="宋体" w:hAnsi="宋体" w:cs="宋体"/>
                <w:b w:val="0"/>
                <w:bCs w:val="0"/>
                <w:szCs w:val="21"/>
                <w:highlight w:val="none"/>
              </w:rPr>
              <w:t>服务特点和优势</w:t>
            </w:r>
            <w:r>
              <w:rPr>
                <w:rFonts w:hint="eastAsia" w:ascii="宋体" w:hAnsi="宋体" w:cs="宋体"/>
                <w:b w:val="0"/>
                <w:bCs w:val="0"/>
                <w:szCs w:val="21"/>
                <w:highlight w:val="none"/>
                <w:lang w:val="en-US" w:eastAsia="zh-CN"/>
              </w:rPr>
              <w:t>突出</w:t>
            </w:r>
            <w:r>
              <w:rPr>
                <w:rFonts w:hint="eastAsia" w:ascii="宋体" w:hAnsi="宋体" w:cs="宋体"/>
                <w:b w:val="0"/>
                <w:bCs w:val="0"/>
                <w:szCs w:val="21"/>
                <w:highlight w:val="none"/>
                <w:lang w:eastAsia="zh-CN"/>
              </w:rPr>
              <w:t>，</w:t>
            </w:r>
            <w:r>
              <w:rPr>
                <w:rFonts w:hint="eastAsia" w:ascii="宋体" w:hAnsi="宋体" w:cs="宋体"/>
                <w:b w:val="0"/>
                <w:bCs w:val="0"/>
                <w:szCs w:val="21"/>
                <w:highlight w:val="none"/>
                <w:lang w:val="en-US" w:eastAsia="zh-CN"/>
              </w:rPr>
              <w:t>内容详尽、清晰、明确</w:t>
            </w:r>
            <w:r>
              <w:rPr>
                <w:rFonts w:hint="eastAsia" w:ascii="宋体" w:hAnsi="宋体" w:cs="宋体"/>
                <w:b w:val="0"/>
                <w:bCs w:val="0"/>
                <w:color w:val="000000"/>
                <w:szCs w:val="21"/>
                <w:highlight w:val="none"/>
              </w:rPr>
              <w:t>得</w:t>
            </w:r>
            <w:r>
              <w:rPr>
                <w:rFonts w:hint="eastAsia" w:ascii="宋体" w:hAnsi="宋体" w:cs="宋体"/>
                <w:b w:val="0"/>
                <w:bCs w:val="0"/>
                <w:szCs w:val="21"/>
                <w:highlight w:val="none"/>
                <w:lang w:val="en-US" w:eastAsia="zh-CN"/>
              </w:rPr>
              <w:t>3</w:t>
            </w:r>
            <w:r>
              <w:rPr>
                <w:rFonts w:hint="eastAsia" w:ascii="宋体" w:hAnsi="宋体" w:cs="宋体"/>
                <w:b w:val="0"/>
                <w:bCs w:val="0"/>
                <w:color w:val="000000"/>
                <w:szCs w:val="21"/>
                <w:highlight w:val="none"/>
              </w:rPr>
              <w:t>分</w:t>
            </w:r>
            <w:r>
              <w:rPr>
                <w:rFonts w:hint="eastAsia" w:ascii="宋体" w:hAnsi="宋体" w:cs="宋体"/>
                <w:b w:val="0"/>
                <w:bCs w:val="0"/>
                <w:color w:val="000000"/>
                <w:szCs w:val="21"/>
                <w:highlight w:val="none"/>
                <w:lang w:eastAsia="zh-CN"/>
              </w:rPr>
              <w:t>；</w:t>
            </w:r>
            <w:r>
              <w:rPr>
                <w:rFonts w:hint="eastAsia" w:ascii="宋体" w:hAnsi="宋体" w:cs="宋体"/>
                <w:b w:val="0"/>
                <w:bCs w:val="0"/>
                <w:color w:val="000000"/>
                <w:szCs w:val="21"/>
                <w:highlight w:val="none"/>
                <w:lang w:val="en-US" w:eastAsia="zh-CN"/>
              </w:rPr>
              <w:t>基本</w:t>
            </w:r>
            <w:r>
              <w:rPr>
                <w:rFonts w:hint="eastAsia" w:ascii="宋体" w:hAnsi="宋体" w:cs="宋体"/>
                <w:b w:val="0"/>
                <w:bCs w:val="0"/>
                <w:szCs w:val="21"/>
                <w:highlight w:val="none"/>
                <w:lang w:val="en-US" w:eastAsia="zh-CN"/>
              </w:rPr>
              <w:t>符合项目采购需求，内容基本全面、合理得1分；</w:t>
            </w:r>
            <w:r>
              <w:rPr>
                <w:rFonts w:hint="eastAsia" w:ascii="Calibri" w:hAnsi="Calibri" w:eastAsia="宋体" w:cs="Times New Roman"/>
                <w:kern w:val="2"/>
                <w:sz w:val="21"/>
                <w:szCs w:val="24"/>
                <w:highlight w:val="none"/>
                <w:vertAlign w:val="baseline"/>
                <w:lang w:val="en-US" w:eastAsia="zh-CN" w:bidi="ar-SA"/>
              </w:rPr>
              <w:t>方案</w:t>
            </w:r>
            <w:r>
              <w:rPr>
                <w:rFonts w:hint="eastAsia" w:cs="Times New Roman"/>
                <w:kern w:val="2"/>
                <w:sz w:val="21"/>
                <w:szCs w:val="24"/>
                <w:highlight w:val="none"/>
                <w:vertAlign w:val="baseline"/>
                <w:lang w:val="en-US" w:eastAsia="zh-CN" w:bidi="ar-SA"/>
              </w:rPr>
              <w:t>内容</w:t>
            </w:r>
            <w:r>
              <w:rPr>
                <w:rFonts w:hint="eastAsia" w:ascii="Calibri" w:hAnsi="Calibri" w:eastAsia="宋体" w:cs="Times New Roman"/>
                <w:kern w:val="2"/>
                <w:sz w:val="21"/>
                <w:szCs w:val="24"/>
                <w:highlight w:val="none"/>
                <w:vertAlign w:val="baseline"/>
                <w:lang w:val="en-US" w:eastAsia="zh-CN" w:bidi="ar-SA"/>
              </w:rPr>
              <w:t>缺漏较多</w:t>
            </w:r>
            <w:r>
              <w:rPr>
                <w:rFonts w:hint="eastAsia" w:cs="Times New Roman"/>
                <w:kern w:val="2"/>
                <w:sz w:val="21"/>
                <w:szCs w:val="24"/>
                <w:highlight w:val="none"/>
                <w:vertAlign w:val="baseline"/>
                <w:lang w:val="en-US" w:eastAsia="zh-CN" w:bidi="ar-SA"/>
              </w:rPr>
              <w:t>或未提供该项内容</w:t>
            </w:r>
            <w:r>
              <w:rPr>
                <w:rFonts w:hint="eastAsia" w:ascii="Calibri" w:hAnsi="Calibri" w:eastAsia="宋体" w:cs="Times New Roman"/>
                <w:kern w:val="2"/>
                <w:sz w:val="21"/>
                <w:szCs w:val="24"/>
                <w:highlight w:val="none"/>
                <w:vertAlign w:val="baseline"/>
                <w:lang w:val="en-US" w:eastAsia="zh-CN" w:bidi="ar-SA"/>
              </w:rPr>
              <w:t>得</w:t>
            </w:r>
            <w:r>
              <w:rPr>
                <w:rFonts w:hint="eastAsia" w:cs="Times New Roman"/>
                <w:kern w:val="2"/>
                <w:sz w:val="21"/>
                <w:szCs w:val="24"/>
                <w:highlight w:val="none"/>
                <w:vertAlign w:val="baseline"/>
                <w:lang w:val="en-US" w:eastAsia="zh-CN" w:bidi="ar-SA"/>
              </w:rPr>
              <w:t>0</w:t>
            </w:r>
            <w:r>
              <w:rPr>
                <w:rFonts w:hint="eastAsia" w:ascii="Calibri" w:hAnsi="Calibri" w:eastAsia="宋体" w:cs="Times New Roman"/>
                <w:kern w:val="2"/>
                <w:sz w:val="21"/>
                <w:szCs w:val="24"/>
                <w:highlight w:val="none"/>
                <w:vertAlign w:val="baseline"/>
                <w:lang w:val="en-US" w:eastAsia="zh-CN" w:bidi="ar-SA"/>
              </w:rPr>
              <w:t>分；</w:t>
            </w:r>
          </w:p>
          <w:p>
            <w:pPr>
              <w:keepNext w:val="0"/>
              <w:keepLines w:val="0"/>
              <w:pageBreakBefore w:val="0"/>
              <w:numPr>
                <w:ilvl w:val="0"/>
                <w:numId w:val="5"/>
              </w:numPr>
              <w:kinsoku/>
              <w:wordWrap/>
              <w:overflowPunct/>
              <w:topLinePunct w:val="0"/>
              <w:autoSpaceDE/>
              <w:autoSpaceDN/>
              <w:bidi w:val="0"/>
              <w:snapToGrid w:val="0"/>
              <w:spacing w:line="300" w:lineRule="auto"/>
              <w:jc w:val="left"/>
              <w:textAlignment w:val="auto"/>
              <w:rPr>
                <w:rFonts w:ascii="宋体" w:hAnsi="宋体" w:cs="宋体"/>
                <w:b w:val="0"/>
                <w:bCs w:val="0"/>
                <w:color w:val="000000"/>
                <w:szCs w:val="21"/>
                <w:highlight w:val="none"/>
              </w:rPr>
            </w:pPr>
            <w:r>
              <w:rPr>
                <w:rFonts w:hint="eastAsia" w:ascii="宋体" w:hAnsi="宋体" w:cs="宋体"/>
                <w:b w:val="0"/>
                <w:bCs w:val="0"/>
                <w:color w:val="000000"/>
                <w:szCs w:val="21"/>
                <w:highlight w:val="none"/>
                <w:lang w:val="en-US" w:eastAsia="zh-CN"/>
              </w:rPr>
              <w:t>投标人</w:t>
            </w:r>
            <w:r>
              <w:rPr>
                <w:rFonts w:hint="eastAsia" w:ascii="宋体" w:hAnsi="宋体" w:cs="宋体"/>
                <w:color w:val="000000"/>
                <w:szCs w:val="21"/>
                <w:highlight w:val="none"/>
              </w:rPr>
              <w:t>的管理体系</w:t>
            </w:r>
            <w:r>
              <w:rPr>
                <w:rFonts w:hint="eastAsia" w:ascii="宋体" w:hAnsi="宋体" w:cs="宋体"/>
                <w:b w:val="0"/>
                <w:bCs w:val="0"/>
                <w:szCs w:val="21"/>
                <w:highlight w:val="none"/>
                <w:lang w:val="en-US" w:eastAsia="zh-CN"/>
              </w:rPr>
              <w:t>和组织架构</w:t>
            </w:r>
            <w:r>
              <w:rPr>
                <w:rFonts w:hint="eastAsia" w:ascii="宋体" w:hAnsi="宋体" w:cs="宋体"/>
                <w:color w:val="000000"/>
                <w:szCs w:val="21"/>
                <w:highlight w:val="none"/>
                <w:lang w:val="en-US" w:eastAsia="zh-CN"/>
              </w:rPr>
              <w:t>清晰，</w:t>
            </w:r>
            <w:r>
              <w:rPr>
                <w:rFonts w:hint="eastAsia" w:ascii="宋体" w:hAnsi="宋体" w:cs="宋体"/>
                <w:b w:val="0"/>
                <w:bCs w:val="0"/>
                <w:szCs w:val="21"/>
                <w:highlight w:val="none"/>
                <w:lang w:val="en-US" w:eastAsia="zh-CN"/>
              </w:rPr>
              <w:t>质量管理体系、安全管理体系、信息化管理体系健全，内部的各个部门和职责明确</w:t>
            </w:r>
            <w:r>
              <w:rPr>
                <w:rFonts w:hint="eastAsia" w:ascii="宋体" w:hAnsi="宋体" w:cs="宋体"/>
                <w:b w:val="0"/>
                <w:bCs w:val="0"/>
                <w:color w:val="000000"/>
                <w:szCs w:val="21"/>
                <w:highlight w:val="none"/>
              </w:rPr>
              <w:t>得</w:t>
            </w:r>
            <w:r>
              <w:rPr>
                <w:rFonts w:hint="eastAsia" w:ascii="宋体" w:hAnsi="宋体" w:cs="宋体"/>
                <w:b w:val="0"/>
                <w:bCs w:val="0"/>
                <w:szCs w:val="21"/>
                <w:highlight w:val="none"/>
                <w:lang w:val="en-US" w:eastAsia="zh-CN"/>
              </w:rPr>
              <w:t>3</w:t>
            </w:r>
            <w:r>
              <w:rPr>
                <w:rFonts w:hint="eastAsia" w:ascii="宋体" w:hAnsi="宋体" w:cs="宋体"/>
                <w:b w:val="0"/>
                <w:bCs w:val="0"/>
                <w:color w:val="000000"/>
                <w:szCs w:val="21"/>
                <w:highlight w:val="none"/>
              </w:rPr>
              <w:t>分</w:t>
            </w:r>
            <w:r>
              <w:rPr>
                <w:rFonts w:hint="eastAsia" w:ascii="宋体" w:hAnsi="宋体" w:cs="宋体"/>
                <w:b w:val="0"/>
                <w:bCs w:val="0"/>
                <w:color w:val="000000"/>
                <w:szCs w:val="21"/>
                <w:highlight w:val="none"/>
                <w:lang w:eastAsia="zh-CN"/>
              </w:rPr>
              <w:t>，</w:t>
            </w:r>
            <w:r>
              <w:rPr>
                <w:rFonts w:hint="eastAsia" w:ascii="宋体" w:hAnsi="宋体" w:cs="宋体"/>
                <w:color w:val="000000"/>
                <w:szCs w:val="21"/>
                <w:highlight w:val="none"/>
              </w:rPr>
              <w:t>管理体系</w:t>
            </w:r>
            <w:r>
              <w:rPr>
                <w:rFonts w:hint="eastAsia" w:ascii="宋体" w:hAnsi="宋体" w:cs="宋体"/>
                <w:color w:val="000000"/>
                <w:szCs w:val="21"/>
                <w:highlight w:val="none"/>
                <w:lang w:val="en-US" w:eastAsia="zh-CN"/>
              </w:rPr>
              <w:t>及组织架构基本清晰，管理体系基本健全，部门职责基本明确得1分，</w:t>
            </w:r>
            <w:r>
              <w:rPr>
                <w:rFonts w:hint="eastAsia" w:ascii="Calibri" w:hAnsi="Calibri" w:eastAsia="宋体" w:cs="Times New Roman"/>
                <w:kern w:val="2"/>
                <w:sz w:val="21"/>
                <w:szCs w:val="24"/>
                <w:highlight w:val="none"/>
                <w:vertAlign w:val="baseline"/>
                <w:lang w:val="en-US" w:eastAsia="zh-CN" w:bidi="ar-SA"/>
              </w:rPr>
              <w:t>方案</w:t>
            </w:r>
            <w:r>
              <w:rPr>
                <w:rFonts w:hint="eastAsia" w:cs="Times New Roman"/>
                <w:kern w:val="2"/>
                <w:sz w:val="21"/>
                <w:szCs w:val="24"/>
                <w:highlight w:val="none"/>
                <w:vertAlign w:val="baseline"/>
                <w:lang w:val="en-US" w:eastAsia="zh-CN" w:bidi="ar-SA"/>
              </w:rPr>
              <w:t>内容</w:t>
            </w:r>
            <w:r>
              <w:rPr>
                <w:rFonts w:hint="eastAsia" w:ascii="Calibri" w:hAnsi="Calibri" w:eastAsia="宋体" w:cs="Times New Roman"/>
                <w:kern w:val="2"/>
                <w:sz w:val="21"/>
                <w:szCs w:val="24"/>
                <w:highlight w:val="none"/>
                <w:vertAlign w:val="baseline"/>
                <w:lang w:val="en-US" w:eastAsia="zh-CN" w:bidi="ar-SA"/>
              </w:rPr>
              <w:t>缺漏较多</w:t>
            </w:r>
            <w:r>
              <w:rPr>
                <w:rFonts w:hint="eastAsia" w:cs="Times New Roman"/>
                <w:kern w:val="2"/>
                <w:sz w:val="21"/>
                <w:szCs w:val="24"/>
                <w:highlight w:val="none"/>
                <w:vertAlign w:val="baseline"/>
                <w:lang w:val="en-US" w:eastAsia="zh-CN" w:bidi="ar-SA"/>
              </w:rPr>
              <w:t>或未提供该项内容</w:t>
            </w:r>
            <w:r>
              <w:rPr>
                <w:rFonts w:hint="eastAsia" w:ascii="Calibri" w:hAnsi="Calibri" w:eastAsia="宋体" w:cs="Times New Roman"/>
                <w:kern w:val="2"/>
                <w:sz w:val="21"/>
                <w:szCs w:val="24"/>
                <w:highlight w:val="none"/>
                <w:vertAlign w:val="baseline"/>
                <w:lang w:val="en-US" w:eastAsia="zh-CN" w:bidi="ar-SA"/>
              </w:rPr>
              <w:t>得</w:t>
            </w:r>
            <w:r>
              <w:rPr>
                <w:rFonts w:hint="eastAsia" w:cs="Times New Roman"/>
                <w:kern w:val="2"/>
                <w:sz w:val="21"/>
                <w:szCs w:val="24"/>
                <w:highlight w:val="none"/>
                <w:vertAlign w:val="baseline"/>
                <w:lang w:val="en-US" w:eastAsia="zh-CN" w:bidi="ar-SA"/>
              </w:rPr>
              <w:t>0</w:t>
            </w:r>
            <w:r>
              <w:rPr>
                <w:rFonts w:hint="eastAsia" w:ascii="Calibri" w:hAnsi="Calibri" w:eastAsia="宋体" w:cs="Times New Roman"/>
                <w:kern w:val="2"/>
                <w:sz w:val="21"/>
                <w:szCs w:val="24"/>
                <w:highlight w:val="none"/>
                <w:vertAlign w:val="baseline"/>
                <w:lang w:val="en-US" w:eastAsia="zh-CN" w:bidi="ar-SA"/>
              </w:rPr>
              <w:t>分</w:t>
            </w:r>
            <w:r>
              <w:rPr>
                <w:rFonts w:hint="eastAsia" w:cs="Times New Roman"/>
                <w:kern w:val="2"/>
                <w:sz w:val="21"/>
                <w:szCs w:val="24"/>
                <w:highlight w:val="none"/>
                <w:vertAlign w:val="baseline"/>
                <w:lang w:val="en-US" w:eastAsia="zh-CN" w:bidi="ar-SA"/>
              </w:rPr>
              <w:t>。</w:t>
            </w:r>
          </w:p>
          <w:p>
            <w:pPr>
              <w:keepNext w:val="0"/>
              <w:keepLines w:val="0"/>
              <w:pageBreakBefore w:val="0"/>
              <w:numPr>
                <w:ilvl w:val="0"/>
                <w:numId w:val="5"/>
              </w:numPr>
              <w:kinsoku/>
              <w:wordWrap/>
              <w:overflowPunct/>
              <w:topLinePunct w:val="0"/>
              <w:autoSpaceDE/>
              <w:autoSpaceDN/>
              <w:bidi w:val="0"/>
              <w:snapToGrid w:val="0"/>
              <w:spacing w:line="300" w:lineRule="auto"/>
              <w:jc w:val="left"/>
              <w:textAlignment w:val="auto"/>
              <w:rPr>
                <w:rFonts w:ascii="宋体" w:hAnsi="宋体" w:cs="宋体"/>
                <w:b w:val="0"/>
                <w:bCs w:val="0"/>
                <w:color w:val="000000"/>
                <w:szCs w:val="21"/>
                <w:highlight w:val="none"/>
              </w:rPr>
            </w:pPr>
            <w:r>
              <w:rPr>
                <w:rFonts w:hint="eastAsia" w:ascii="宋体" w:hAnsi="宋体" w:cs="宋体"/>
                <w:b w:val="0"/>
                <w:bCs w:val="0"/>
                <w:szCs w:val="21"/>
                <w:highlight w:val="none"/>
                <w:lang w:val="en-US" w:eastAsia="zh-CN"/>
              </w:rPr>
              <w:t>投标人的资源设备配置及发票齐全，流水线生产图片清晰完整，机械设备及仓储设施优于或完全符合项目采购需求，</w:t>
            </w:r>
            <w:r>
              <w:rPr>
                <w:rFonts w:hint="eastAsia" w:ascii="宋体" w:hAnsi="宋体" w:cs="宋体"/>
                <w:b w:val="0"/>
                <w:bCs w:val="0"/>
                <w:color w:val="000000"/>
                <w:szCs w:val="21"/>
                <w:highlight w:val="none"/>
              </w:rPr>
              <w:t>得</w:t>
            </w:r>
            <w:r>
              <w:rPr>
                <w:rFonts w:hint="eastAsia" w:ascii="宋体" w:hAnsi="宋体" w:cs="宋体"/>
                <w:b w:val="0"/>
                <w:bCs w:val="0"/>
                <w:szCs w:val="21"/>
                <w:highlight w:val="none"/>
                <w:lang w:val="en-US" w:eastAsia="zh-CN"/>
              </w:rPr>
              <w:t>3</w:t>
            </w:r>
            <w:r>
              <w:rPr>
                <w:rFonts w:hint="eastAsia" w:ascii="宋体" w:hAnsi="宋体" w:cs="宋体"/>
                <w:b w:val="0"/>
                <w:bCs w:val="0"/>
                <w:color w:val="000000"/>
                <w:szCs w:val="21"/>
                <w:highlight w:val="none"/>
              </w:rPr>
              <w:t>分</w:t>
            </w:r>
            <w:r>
              <w:rPr>
                <w:rFonts w:hint="eastAsia" w:ascii="宋体" w:hAnsi="宋体" w:cs="宋体"/>
                <w:b w:val="0"/>
                <w:bCs w:val="0"/>
                <w:color w:val="000000"/>
                <w:szCs w:val="21"/>
                <w:highlight w:val="none"/>
                <w:lang w:eastAsia="zh-CN"/>
              </w:rPr>
              <w:t>；</w:t>
            </w:r>
            <w:r>
              <w:rPr>
                <w:rFonts w:hint="eastAsia" w:ascii="宋体" w:hAnsi="宋体" w:cs="宋体"/>
                <w:b w:val="0"/>
                <w:bCs w:val="0"/>
                <w:szCs w:val="21"/>
                <w:highlight w:val="none"/>
                <w:lang w:val="en-US" w:eastAsia="zh-CN"/>
              </w:rPr>
              <w:t>资源设备配置及发票较齐全，机械设备及仓储设施基本符合项目采购需求</w:t>
            </w:r>
            <w:r>
              <w:rPr>
                <w:rFonts w:hint="eastAsia" w:ascii="宋体" w:hAnsi="宋体" w:cs="宋体"/>
                <w:b w:val="0"/>
                <w:bCs w:val="0"/>
                <w:color w:val="000000"/>
                <w:szCs w:val="21"/>
                <w:highlight w:val="none"/>
              </w:rPr>
              <w:t>得</w:t>
            </w:r>
            <w:r>
              <w:rPr>
                <w:rFonts w:hint="eastAsia" w:ascii="宋体" w:hAnsi="宋体" w:cs="宋体"/>
                <w:b w:val="0"/>
                <w:bCs w:val="0"/>
                <w:szCs w:val="21"/>
                <w:highlight w:val="none"/>
                <w:lang w:val="en-US" w:eastAsia="zh-CN"/>
              </w:rPr>
              <w:t>1</w:t>
            </w:r>
            <w:r>
              <w:rPr>
                <w:rFonts w:hint="eastAsia" w:ascii="宋体" w:hAnsi="宋体" w:cs="宋体"/>
                <w:b w:val="0"/>
                <w:bCs w:val="0"/>
                <w:color w:val="000000"/>
                <w:szCs w:val="21"/>
                <w:highlight w:val="none"/>
              </w:rPr>
              <w:t>分</w:t>
            </w:r>
            <w:r>
              <w:rPr>
                <w:rFonts w:hint="eastAsia" w:ascii="宋体" w:hAnsi="宋体" w:cs="宋体"/>
                <w:b w:val="0"/>
                <w:bCs w:val="0"/>
                <w:color w:val="000000"/>
                <w:szCs w:val="21"/>
                <w:highlight w:val="none"/>
                <w:lang w:eastAsia="zh-CN"/>
              </w:rPr>
              <w:t>；</w:t>
            </w:r>
            <w:r>
              <w:rPr>
                <w:rFonts w:hint="eastAsia" w:ascii="Calibri" w:hAnsi="Calibri" w:eastAsia="宋体" w:cs="Times New Roman"/>
                <w:kern w:val="2"/>
                <w:sz w:val="21"/>
                <w:szCs w:val="24"/>
                <w:highlight w:val="none"/>
                <w:vertAlign w:val="baseline"/>
                <w:lang w:val="en-US" w:eastAsia="zh-CN" w:bidi="ar-SA"/>
              </w:rPr>
              <w:t>方案</w:t>
            </w:r>
            <w:r>
              <w:rPr>
                <w:rFonts w:hint="eastAsia" w:cs="Times New Roman"/>
                <w:kern w:val="2"/>
                <w:sz w:val="21"/>
                <w:szCs w:val="24"/>
                <w:highlight w:val="none"/>
                <w:vertAlign w:val="baseline"/>
                <w:lang w:val="en-US" w:eastAsia="zh-CN" w:bidi="ar-SA"/>
              </w:rPr>
              <w:t>内容</w:t>
            </w:r>
            <w:r>
              <w:rPr>
                <w:rFonts w:hint="eastAsia" w:ascii="Calibri" w:hAnsi="Calibri" w:eastAsia="宋体" w:cs="Times New Roman"/>
                <w:kern w:val="2"/>
                <w:sz w:val="21"/>
                <w:szCs w:val="24"/>
                <w:highlight w:val="none"/>
                <w:vertAlign w:val="baseline"/>
                <w:lang w:val="en-US" w:eastAsia="zh-CN" w:bidi="ar-SA"/>
              </w:rPr>
              <w:t>缺漏较多</w:t>
            </w:r>
            <w:r>
              <w:rPr>
                <w:rFonts w:hint="eastAsia" w:cs="Times New Roman"/>
                <w:kern w:val="2"/>
                <w:sz w:val="21"/>
                <w:szCs w:val="24"/>
                <w:highlight w:val="none"/>
                <w:vertAlign w:val="baseline"/>
                <w:lang w:val="en-US" w:eastAsia="zh-CN" w:bidi="ar-SA"/>
              </w:rPr>
              <w:t>或未提供该项内容</w:t>
            </w:r>
            <w:r>
              <w:rPr>
                <w:rFonts w:hint="eastAsia" w:ascii="Calibri" w:hAnsi="Calibri" w:eastAsia="宋体" w:cs="Times New Roman"/>
                <w:kern w:val="2"/>
                <w:sz w:val="21"/>
                <w:szCs w:val="24"/>
                <w:highlight w:val="none"/>
                <w:vertAlign w:val="baseline"/>
                <w:lang w:val="en-US" w:eastAsia="zh-CN" w:bidi="ar-SA"/>
              </w:rPr>
              <w:t>得</w:t>
            </w:r>
            <w:r>
              <w:rPr>
                <w:rFonts w:hint="eastAsia" w:cs="Times New Roman"/>
                <w:kern w:val="2"/>
                <w:sz w:val="21"/>
                <w:szCs w:val="24"/>
                <w:highlight w:val="none"/>
                <w:vertAlign w:val="baseline"/>
                <w:lang w:val="en-US" w:eastAsia="zh-CN" w:bidi="ar-SA"/>
              </w:rPr>
              <w:t>0</w:t>
            </w:r>
            <w:r>
              <w:rPr>
                <w:rFonts w:hint="eastAsia" w:ascii="Calibri" w:hAnsi="Calibri" w:eastAsia="宋体" w:cs="Times New Roman"/>
                <w:kern w:val="2"/>
                <w:sz w:val="21"/>
                <w:szCs w:val="24"/>
                <w:highlight w:val="none"/>
                <w:vertAlign w:val="baseline"/>
                <w:lang w:val="en-US" w:eastAsia="zh-CN" w:bidi="ar-SA"/>
              </w:rPr>
              <w:t>分</w:t>
            </w:r>
            <w:r>
              <w:rPr>
                <w:rFonts w:hint="eastAsia" w:cs="Times New Roman"/>
                <w:kern w:val="2"/>
                <w:sz w:val="21"/>
                <w:szCs w:val="24"/>
                <w:highlight w:val="none"/>
                <w:vertAlign w:val="baseline"/>
                <w:lang w:val="en-US" w:eastAsia="zh-CN" w:bidi="ar-SA"/>
              </w:rPr>
              <w:t>。</w:t>
            </w:r>
          </w:p>
          <w:p>
            <w:pPr>
              <w:keepNext w:val="0"/>
              <w:keepLines w:val="0"/>
              <w:pageBreakBefore w:val="0"/>
              <w:numPr>
                <w:ilvl w:val="0"/>
                <w:numId w:val="5"/>
              </w:numPr>
              <w:kinsoku/>
              <w:wordWrap/>
              <w:overflowPunct/>
              <w:topLinePunct w:val="0"/>
              <w:autoSpaceDE/>
              <w:autoSpaceDN/>
              <w:bidi w:val="0"/>
              <w:snapToGrid w:val="0"/>
              <w:spacing w:line="300" w:lineRule="auto"/>
              <w:jc w:val="left"/>
              <w:textAlignment w:val="auto"/>
              <w:rPr>
                <w:rFonts w:ascii="宋体" w:hAnsi="宋体" w:cs="宋体"/>
                <w:b w:val="0"/>
                <w:bCs w:val="0"/>
                <w:color w:val="000000"/>
                <w:szCs w:val="21"/>
                <w:highlight w:val="none"/>
              </w:rPr>
            </w:pPr>
            <w:r>
              <w:rPr>
                <w:rFonts w:hint="eastAsia" w:ascii="宋体" w:hAnsi="宋体" w:cs="宋体"/>
                <w:b w:val="0"/>
                <w:bCs w:val="0"/>
                <w:color w:val="000000"/>
                <w:szCs w:val="21"/>
                <w:highlight w:val="none"/>
                <w:lang w:val="en-US" w:eastAsia="zh-CN"/>
              </w:rPr>
              <w:t>投标人的技术人员投入</w:t>
            </w:r>
            <w:r>
              <w:rPr>
                <w:rFonts w:hint="eastAsia" w:ascii="宋体" w:hAnsi="宋体" w:cs="宋体"/>
                <w:b w:val="0"/>
                <w:bCs w:val="0"/>
                <w:szCs w:val="21"/>
                <w:highlight w:val="none"/>
                <w:lang w:val="en-US" w:eastAsia="zh-CN"/>
              </w:rPr>
              <w:t>优于或完全符合项目采购需求，管理及考核制度健全、合理</w:t>
            </w:r>
            <w:r>
              <w:rPr>
                <w:rFonts w:hint="eastAsia" w:ascii="宋体" w:hAnsi="宋体" w:cs="宋体"/>
                <w:b w:val="0"/>
                <w:bCs w:val="0"/>
                <w:color w:val="000000"/>
                <w:szCs w:val="21"/>
                <w:highlight w:val="none"/>
              </w:rPr>
              <w:t>得</w:t>
            </w:r>
            <w:r>
              <w:rPr>
                <w:rFonts w:hint="eastAsia" w:ascii="宋体" w:hAnsi="宋体" w:cs="宋体"/>
                <w:b w:val="0"/>
                <w:bCs w:val="0"/>
                <w:szCs w:val="21"/>
                <w:highlight w:val="none"/>
                <w:lang w:val="en-US" w:eastAsia="zh-CN"/>
              </w:rPr>
              <w:t>3</w:t>
            </w:r>
            <w:r>
              <w:rPr>
                <w:rFonts w:hint="eastAsia" w:ascii="宋体" w:hAnsi="宋体" w:cs="宋体"/>
                <w:b w:val="0"/>
                <w:bCs w:val="0"/>
                <w:color w:val="000000"/>
                <w:szCs w:val="21"/>
                <w:highlight w:val="none"/>
              </w:rPr>
              <w:t>分</w:t>
            </w:r>
            <w:r>
              <w:rPr>
                <w:rFonts w:hint="eastAsia" w:ascii="宋体" w:hAnsi="宋体" w:cs="宋体"/>
                <w:b w:val="0"/>
                <w:bCs w:val="0"/>
                <w:color w:val="000000"/>
                <w:szCs w:val="21"/>
                <w:highlight w:val="none"/>
                <w:lang w:eastAsia="zh-CN"/>
              </w:rPr>
              <w:t>；</w:t>
            </w:r>
            <w:r>
              <w:rPr>
                <w:rFonts w:hint="eastAsia" w:ascii="宋体" w:hAnsi="宋体" w:cs="宋体"/>
                <w:b w:val="0"/>
                <w:bCs w:val="0"/>
                <w:color w:val="000000"/>
                <w:szCs w:val="21"/>
                <w:highlight w:val="none"/>
                <w:lang w:val="en-US" w:eastAsia="zh-CN"/>
              </w:rPr>
              <w:t>技术人员投入基本符合项目采购需求，</w:t>
            </w:r>
            <w:r>
              <w:rPr>
                <w:rFonts w:hint="eastAsia" w:ascii="宋体" w:hAnsi="宋体" w:cs="宋体"/>
                <w:b w:val="0"/>
                <w:bCs w:val="0"/>
                <w:szCs w:val="21"/>
                <w:highlight w:val="none"/>
                <w:lang w:val="en-US" w:eastAsia="zh-CN"/>
              </w:rPr>
              <w:t>管理及考核制度基本健全</w:t>
            </w:r>
            <w:r>
              <w:rPr>
                <w:rFonts w:hint="eastAsia" w:ascii="宋体" w:hAnsi="宋体" w:cs="宋体"/>
                <w:b w:val="0"/>
                <w:bCs w:val="0"/>
                <w:color w:val="000000"/>
                <w:szCs w:val="21"/>
                <w:highlight w:val="none"/>
              </w:rPr>
              <w:t>得</w:t>
            </w:r>
            <w:r>
              <w:rPr>
                <w:rFonts w:hint="eastAsia" w:ascii="宋体" w:hAnsi="宋体" w:cs="宋体"/>
                <w:b w:val="0"/>
                <w:bCs w:val="0"/>
                <w:szCs w:val="21"/>
                <w:highlight w:val="none"/>
                <w:lang w:val="en-US" w:eastAsia="zh-CN"/>
              </w:rPr>
              <w:t>1</w:t>
            </w:r>
            <w:r>
              <w:rPr>
                <w:rFonts w:hint="eastAsia" w:ascii="宋体" w:hAnsi="宋体" w:cs="宋体"/>
                <w:b w:val="0"/>
                <w:bCs w:val="0"/>
                <w:color w:val="000000"/>
                <w:szCs w:val="21"/>
                <w:highlight w:val="none"/>
              </w:rPr>
              <w:t>分</w:t>
            </w:r>
            <w:r>
              <w:rPr>
                <w:rFonts w:hint="eastAsia" w:ascii="宋体" w:hAnsi="宋体" w:cs="宋体"/>
                <w:b w:val="0"/>
                <w:bCs w:val="0"/>
                <w:color w:val="000000"/>
                <w:szCs w:val="21"/>
                <w:highlight w:val="none"/>
                <w:lang w:eastAsia="zh-CN"/>
              </w:rPr>
              <w:t>，</w:t>
            </w:r>
            <w:r>
              <w:rPr>
                <w:rFonts w:hint="eastAsia" w:ascii="Calibri" w:hAnsi="Calibri" w:eastAsia="宋体" w:cs="Times New Roman"/>
                <w:kern w:val="2"/>
                <w:sz w:val="21"/>
                <w:szCs w:val="24"/>
                <w:highlight w:val="none"/>
                <w:vertAlign w:val="baseline"/>
                <w:lang w:val="en-US" w:eastAsia="zh-CN" w:bidi="ar-SA"/>
              </w:rPr>
              <w:t>方案</w:t>
            </w:r>
            <w:r>
              <w:rPr>
                <w:rFonts w:hint="eastAsia" w:cs="Times New Roman"/>
                <w:kern w:val="2"/>
                <w:sz w:val="21"/>
                <w:szCs w:val="24"/>
                <w:highlight w:val="none"/>
                <w:vertAlign w:val="baseline"/>
                <w:lang w:val="en-US" w:eastAsia="zh-CN" w:bidi="ar-SA"/>
              </w:rPr>
              <w:t>内容</w:t>
            </w:r>
            <w:r>
              <w:rPr>
                <w:rFonts w:hint="eastAsia" w:ascii="Calibri" w:hAnsi="Calibri" w:eastAsia="宋体" w:cs="Times New Roman"/>
                <w:kern w:val="2"/>
                <w:sz w:val="21"/>
                <w:szCs w:val="24"/>
                <w:highlight w:val="none"/>
                <w:vertAlign w:val="baseline"/>
                <w:lang w:val="en-US" w:eastAsia="zh-CN" w:bidi="ar-SA"/>
              </w:rPr>
              <w:t>缺漏较多</w:t>
            </w:r>
            <w:r>
              <w:rPr>
                <w:rFonts w:hint="eastAsia" w:cs="Times New Roman"/>
                <w:kern w:val="2"/>
                <w:sz w:val="21"/>
                <w:szCs w:val="24"/>
                <w:highlight w:val="none"/>
                <w:vertAlign w:val="baseline"/>
                <w:lang w:val="en-US" w:eastAsia="zh-CN" w:bidi="ar-SA"/>
              </w:rPr>
              <w:t>或未提供该项内容</w:t>
            </w:r>
            <w:r>
              <w:rPr>
                <w:rFonts w:hint="eastAsia" w:ascii="Calibri" w:hAnsi="Calibri" w:eastAsia="宋体" w:cs="Times New Roman"/>
                <w:kern w:val="2"/>
                <w:sz w:val="21"/>
                <w:szCs w:val="24"/>
                <w:highlight w:val="none"/>
                <w:vertAlign w:val="baseline"/>
                <w:lang w:val="en-US" w:eastAsia="zh-CN" w:bidi="ar-SA"/>
              </w:rPr>
              <w:t>得</w:t>
            </w:r>
            <w:r>
              <w:rPr>
                <w:rFonts w:hint="eastAsia" w:cs="Times New Roman"/>
                <w:kern w:val="2"/>
                <w:sz w:val="21"/>
                <w:szCs w:val="24"/>
                <w:highlight w:val="none"/>
                <w:vertAlign w:val="baseline"/>
                <w:lang w:val="en-US" w:eastAsia="zh-CN" w:bidi="ar-SA"/>
              </w:rPr>
              <w:t>0</w:t>
            </w:r>
            <w:r>
              <w:rPr>
                <w:rFonts w:hint="eastAsia" w:ascii="Calibri" w:hAnsi="Calibri" w:eastAsia="宋体" w:cs="Times New Roman"/>
                <w:kern w:val="2"/>
                <w:sz w:val="21"/>
                <w:szCs w:val="24"/>
                <w:highlight w:val="none"/>
                <w:vertAlign w:val="baseline"/>
                <w:lang w:val="en-US" w:eastAsia="zh-CN" w:bidi="ar-SA"/>
              </w:rPr>
              <w:t>分</w:t>
            </w:r>
            <w:r>
              <w:rPr>
                <w:rFonts w:hint="eastAsia" w:cs="Times New Roman"/>
                <w:kern w:val="2"/>
                <w:sz w:val="21"/>
                <w:szCs w:val="24"/>
                <w:highlight w:val="none"/>
                <w:vertAlign w:val="baseline"/>
                <w:lang w:val="en-US" w:eastAsia="zh-CN" w:bidi="ar-SA"/>
              </w:rPr>
              <w:t>。</w:t>
            </w:r>
            <w:r>
              <w:rPr>
                <w:rFonts w:hint="eastAsia" w:ascii="宋体" w:hAnsi="宋体" w:cs="宋体"/>
                <w:b w:val="0"/>
                <w:bCs w:val="0"/>
                <w:color w:val="000000"/>
                <w:szCs w:val="21"/>
                <w:highlight w:val="none"/>
                <w:lang w:eastAsia="zh-CN"/>
              </w:rPr>
              <w:t>（</w:t>
            </w:r>
            <w:r>
              <w:rPr>
                <w:rFonts w:hint="eastAsia" w:ascii="宋体" w:hAnsi="宋体" w:cs="宋体"/>
                <w:b w:val="0"/>
                <w:bCs w:val="0"/>
                <w:color w:val="000000"/>
                <w:szCs w:val="21"/>
                <w:highlight w:val="none"/>
                <w:lang w:val="en-US" w:eastAsia="zh-CN"/>
              </w:rPr>
              <w:t>可</w:t>
            </w:r>
            <w:r>
              <w:rPr>
                <w:rFonts w:hint="eastAsia" w:ascii="宋体" w:hAnsi="宋体" w:cs="宋体"/>
                <w:b w:val="0"/>
                <w:bCs w:val="0"/>
                <w:color w:val="000000"/>
                <w:szCs w:val="21"/>
                <w:highlight w:val="none"/>
                <w:lang w:eastAsia="zh-CN"/>
              </w:rPr>
              <w:t>介绍公司</w:t>
            </w:r>
            <w:r>
              <w:rPr>
                <w:rFonts w:hint="eastAsia" w:ascii="宋体" w:hAnsi="宋体" w:cs="宋体"/>
                <w:b w:val="0"/>
                <w:bCs w:val="0"/>
                <w:color w:val="000000"/>
                <w:szCs w:val="21"/>
                <w:highlight w:val="none"/>
                <w:lang w:val="en-US" w:eastAsia="zh-CN"/>
              </w:rPr>
              <w:t>具有劳动合同的员工</w:t>
            </w:r>
            <w:r>
              <w:rPr>
                <w:rFonts w:hint="eastAsia" w:ascii="宋体" w:hAnsi="宋体" w:cs="宋体"/>
                <w:b w:val="0"/>
                <w:bCs w:val="0"/>
                <w:color w:val="000000"/>
                <w:szCs w:val="21"/>
                <w:highlight w:val="none"/>
                <w:lang w:eastAsia="zh-CN"/>
              </w:rPr>
              <w:t>，</w:t>
            </w:r>
            <w:r>
              <w:rPr>
                <w:rFonts w:hint="eastAsia" w:ascii="宋体" w:hAnsi="宋体" w:cs="宋体"/>
                <w:b w:val="0"/>
                <w:bCs w:val="0"/>
                <w:color w:val="000000"/>
                <w:szCs w:val="21"/>
                <w:highlight w:val="none"/>
                <w:lang w:val="en-US" w:eastAsia="zh-CN"/>
              </w:rPr>
              <w:t>专业能力、获得证书以及</w:t>
            </w:r>
            <w:r>
              <w:rPr>
                <w:rFonts w:hint="eastAsia" w:ascii="宋体" w:hAnsi="宋体" w:cs="宋体"/>
                <w:b w:val="0"/>
                <w:bCs w:val="0"/>
                <w:color w:val="000000"/>
                <w:szCs w:val="21"/>
                <w:highlight w:val="none"/>
                <w:lang w:eastAsia="zh-CN"/>
              </w:rPr>
              <w:t>培训计划和考核机制</w:t>
            </w:r>
            <w:r>
              <w:rPr>
                <w:rFonts w:hint="eastAsia" w:ascii="宋体" w:hAnsi="宋体" w:cs="宋体"/>
                <w:b w:val="0"/>
                <w:bCs w:val="0"/>
                <w:color w:val="000000"/>
                <w:szCs w:val="21"/>
                <w:highlight w:val="none"/>
                <w:lang w:val="en-US" w:eastAsia="zh-CN"/>
              </w:rPr>
              <w:t>等</w:t>
            </w:r>
            <w:r>
              <w:rPr>
                <w:rFonts w:hint="eastAsia" w:ascii="宋体" w:hAnsi="宋体" w:cs="宋体"/>
                <w:b w:val="0"/>
                <w:bCs w:val="0"/>
                <w:color w:val="000000"/>
                <w:szCs w:val="21"/>
                <w:highlight w:val="none"/>
                <w:lang w:eastAsia="zh-CN"/>
              </w:rPr>
              <w:t>，包括管理层、业务员等。）</w:t>
            </w:r>
          </w:p>
          <w:p>
            <w:pPr>
              <w:keepNext w:val="0"/>
              <w:keepLines w:val="0"/>
              <w:pageBreakBefore w:val="0"/>
              <w:numPr>
                <w:ilvl w:val="0"/>
                <w:numId w:val="5"/>
              </w:numPr>
              <w:kinsoku/>
              <w:wordWrap/>
              <w:overflowPunct/>
              <w:topLinePunct w:val="0"/>
              <w:autoSpaceDE/>
              <w:autoSpaceDN/>
              <w:bidi w:val="0"/>
              <w:snapToGrid w:val="0"/>
              <w:spacing w:line="300" w:lineRule="auto"/>
              <w:jc w:val="left"/>
              <w:textAlignment w:val="auto"/>
              <w:rPr>
                <w:rFonts w:hint="eastAsia" w:ascii="Calibri" w:hAnsi="Calibri" w:eastAsia="宋体" w:cs="Times New Roman"/>
                <w:kern w:val="2"/>
                <w:sz w:val="21"/>
                <w:szCs w:val="24"/>
                <w:highlight w:val="none"/>
                <w:vertAlign w:val="baseline"/>
                <w:lang w:val="en-US" w:eastAsia="zh-CN" w:bidi="ar-SA"/>
              </w:rPr>
            </w:pPr>
            <w:r>
              <w:rPr>
                <w:rFonts w:hint="eastAsia" w:ascii="宋体" w:hAnsi="宋体" w:cs="宋体"/>
                <w:b w:val="0"/>
                <w:bCs w:val="0"/>
                <w:color w:val="000000"/>
                <w:szCs w:val="21"/>
                <w:highlight w:val="none"/>
                <w:lang w:val="en-US" w:eastAsia="zh-CN"/>
              </w:rPr>
              <w:t>投标人的</w:t>
            </w:r>
            <w:r>
              <w:rPr>
                <w:rFonts w:hint="eastAsia" w:ascii="宋体" w:hAnsi="宋体" w:cs="宋体"/>
                <w:b w:val="0"/>
                <w:bCs w:val="0"/>
                <w:color w:val="000000"/>
                <w:szCs w:val="21"/>
                <w:highlight w:val="none"/>
              </w:rPr>
              <w:t>产品质量控制制度</w:t>
            </w:r>
            <w:r>
              <w:rPr>
                <w:rFonts w:hint="eastAsia" w:ascii="宋体" w:hAnsi="宋体" w:cs="宋体"/>
                <w:b w:val="0"/>
                <w:bCs w:val="0"/>
                <w:color w:val="000000"/>
                <w:szCs w:val="21"/>
                <w:highlight w:val="none"/>
                <w:lang w:val="en-US" w:eastAsia="zh-CN"/>
              </w:rPr>
              <w:t>及措施全面、</w:t>
            </w:r>
            <w:r>
              <w:rPr>
                <w:rFonts w:hint="default" w:ascii="Arial" w:hAnsi="Arial" w:eastAsia="宋体" w:cs="Arial"/>
                <w:b w:val="0"/>
                <w:bCs w:val="0"/>
                <w:i w:val="0"/>
                <w:iCs w:val="0"/>
                <w:caps w:val="0"/>
                <w:color w:val="333333"/>
                <w:spacing w:val="0"/>
                <w:sz w:val="21"/>
                <w:szCs w:val="21"/>
                <w:highlight w:val="none"/>
                <w:shd w:val="clear" w:fill="FFFFFF"/>
              </w:rPr>
              <w:t>原材料的抽样、采购、检验</w:t>
            </w:r>
            <w:r>
              <w:rPr>
                <w:rFonts w:hint="eastAsia" w:ascii="Arial" w:hAnsi="Arial" w:eastAsia="宋体" w:cs="Arial"/>
                <w:b w:val="0"/>
                <w:bCs w:val="0"/>
                <w:i w:val="0"/>
                <w:iCs w:val="0"/>
                <w:caps w:val="0"/>
                <w:color w:val="333333"/>
                <w:spacing w:val="0"/>
                <w:sz w:val="21"/>
                <w:szCs w:val="21"/>
                <w:highlight w:val="none"/>
                <w:shd w:val="clear" w:fill="FFFFFF"/>
                <w:lang w:eastAsia="zh-CN"/>
              </w:rPr>
              <w:t>、</w:t>
            </w:r>
            <w:r>
              <w:rPr>
                <w:rFonts w:hint="eastAsia" w:ascii="Arial" w:hAnsi="Arial" w:eastAsia="宋体" w:cs="Arial"/>
                <w:b w:val="0"/>
                <w:bCs w:val="0"/>
                <w:i w:val="0"/>
                <w:iCs w:val="0"/>
                <w:caps w:val="0"/>
                <w:color w:val="333333"/>
                <w:spacing w:val="0"/>
                <w:sz w:val="21"/>
                <w:szCs w:val="21"/>
                <w:highlight w:val="none"/>
                <w:shd w:val="clear" w:fill="FFFFFF"/>
                <w:lang w:val="en-US" w:eastAsia="zh-CN"/>
              </w:rPr>
              <w:t>包装、运输</w:t>
            </w:r>
            <w:r>
              <w:rPr>
                <w:rFonts w:hint="default" w:ascii="Arial" w:hAnsi="Arial" w:eastAsia="宋体" w:cs="Arial"/>
                <w:b w:val="0"/>
                <w:bCs w:val="0"/>
                <w:i w:val="0"/>
                <w:iCs w:val="0"/>
                <w:caps w:val="0"/>
                <w:color w:val="333333"/>
                <w:spacing w:val="0"/>
                <w:sz w:val="21"/>
                <w:szCs w:val="21"/>
                <w:highlight w:val="none"/>
                <w:shd w:val="clear" w:fill="FFFFFF"/>
              </w:rPr>
              <w:t>等过程</w:t>
            </w:r>
            <w:r>
              <w:rPr>
                <w:rFonts w:hint="eastAsia" w:ascii="Arial" w:hAnsi="Arial" w:cs="Arial"/>
                <w:b w:val="0"/>
                <w:bCs w:val="0"/>
                <w:i w:val="0"/>
                <w:iCs w:val="0"/>
                <w:caps w:val="0"/>
                <w:color w:val="333333"/>
                <w:spacing w:val="0"/>
                <w:sz w:val="21"/>
                <w:szCs w:val="21"/>
                <w:highlight w:val="none"/>
                <w:shd w:val="clear" w:fill="FFFFFF"/>
                <w:lang w:val="en-US" w:eastAsia="zh-CN"/>
              </w:rPr>
              <w:t>描述详细</w:t>
            </w:r>
            <w:r>
              <w:rPr>
                <w:rFonts w:hint="eastAsia" w:ascii="宋体" w:hAnsi="宋体" w:cs="宋体"/>
                <w:b w:val="0"/>
                <w:bCs w:val="0"/>
                <w:color w:val="000000"/>
                <w:szCs w:val="21"/>
                <w:highlight w:val="none"/>
              </w:rPr>
              <w:t>完整得</w:t>
            </w:r>
            <w:r>
              <w:rPr>
                <w:rFonts w:hint="eastAsia" w:ascii="宋体" w:hAnsi="宋体" w:cs="宋体"/>
                <w:b w:val="0"/>
                <w:bCs w:val="0"/>
                <w:szCs w:val="21"/>
                <w:highlight w:val="none"/>
                <w:lang w:val="en-US" w:eastAsia="zh-CN"/>
              </w:rPr>
              <w:t>3</w:t>
            </w:r>
            <w:r>
              <w:rPr>
                <w:rFonts w:hint="eastAsia" w:ascii="宋体" w:hAnsi="宋体" w:cs="宋体"/>
                <w:b w:val="0"/>
                <w:bCs w:val="0"/>
                <w:color w:val="000000"/>
                <w:szCs w:val="21"/>
                <w:highlight w:val="none"/>
              </w:rPr>
              <w:t>分，</w:t>
            </w:r>
            <w:r>
              <w:rPr>
                <w:rFonts w:hint="eastAsia" w:ascii="宋体" w:hAnsi="宋体" w:cs="宋体"/>
                <w:b w:val="0"/>
                <w:bCs w:val="0"/>
                <w:color w:val="000000"/>
                <w:szCs w:val="21"/>
                <w:highlight w:val="none"/>
                <w:lang w:val="en-US" w:eastAsia="zh-CN"/>
              </w:rPr>
              <w:t>基本全面、完整得1分，</w:t>
            </w:r>
            <w:r>
              <w:rPr>
                <w:rFonts w:hint="eastAsia" w:cs="Times New Roman"/>
                <w:kern w:val="2"/>
                <w:sz w:val="21"/>
                <w:szCs w:val="24"/>
                <w:highlight w:val="none"/>
                <w:vertAlign w:val="baseline"/>
                <w:lang w:val="en-US" w:eastAsia="zh-CN" w:bidi="ar-SA"/>
              </w:rPr>
              <w:t>内</w:t>
            </w:r>
            <w:r>
              <w:rPr>
                <w:rFonts w:hint="eastAsia" w:ascii="Calibri" w:hAnsi="Calibri" w:eastAsia="宋体" w:cs="Times New Roman"/>
                <w:kern w:val="2"/>
                <w:sz w:val="21"/>
                <w:szCs w:val="24"/>
                <w:highlight w:val="none"/>
                <w:vertAlign w:val="baseline"/>
                <w:lang w:val="en-US" w:eastAsia="zh-CN" w:bidi="ar-SA"/>
              </w:rPr>
              <w:t>容缺漏较多或未提供该项内容得0分。（可描述产品质量控制从源头上把控质量</w:t>
            </w:r>
            <w:r>
              <w:rPr>
                <w:rFonts w:hint="default" w:ascii="Calibri" w:hAnsi="Calibri" w:eastAsia="宋体" w:cs="Times New Roman"/>
                <w:kern w:val="2"/>
                <w:sz w:val="21"/>
                <w:szCs w:val="24"/>
                <w:highlight w:val="none"/>
                <w:vertAlign w:val="baseline"/>
                <w:lang w:val="en-US" w:eastAsia="zh-CN" w:bidi="ar-SA"/>
              </w:rPr>
              <w:t>,从原材料的抽样、采购、检验</w:t>
            </w:r>
            <w:r>
              <w:rPr>
                <w:rFonts w:hint="eastAsia" w:ascii="Calibri" w:hAnsi="Calibri" w:eastAsia="宋体" w:cs="Times New Roman"/>
                <w:kern w:val="2"/>
                <w:sz w:val="21"/>
                <w:szCs w:val="24"/>
                <w:highlight w:val="none"/>
                <w:vertAlign w:val="baseline"/>
                <w:lang w:val="en-US" w:eastAsia="zh-CN" w:bidi="ar-SA"/>
              </w:rPr>
              <w:t>、包装、运输</w:t>
            </w:r>
            <w:r>
              <w:rPr>
                <w:rFonts w:hint="default" w:ascii="Calibri" w:hAnsi="Calibri" w:eastAsia="宋体" w:cs="Times New Roman"/>
                <w:kern w:val="2"/>
                <w:sz w:val="21"/>
                <w:szCs w:val="24"/>
                <w:highlight w:val="none"/>
                <w:vertAlign w:val="baseline"/>
                <w:lang w:val="en-US" w:eastAsia="zh-CN" w:bidi="ar-SA"/>
              </w:rPr>
              <w:t>等过程中,</w:t>
            </w:r>
            <w:r>
              <w:rPr>
                <w:rFonts w:hint="eastAsia" w:ascii="Calibri" w:hAnsi="Calibri" w:eastAsia="宋体" w:cs="Times New Roman"/>
                <w:kern w:val="2"/>
                <w:sz w:val="21"/>
                <w:szCs w:val="24"/>
                <w:highlight w:val="none"/>
                <w:vertAlign w:val="baseline"/>
                <w:lang w:val="en-US" w:eastAsia="zh-CN" w:bidi="ar-SA"/>
              </w:rPr>
              <w:t>如何</w:t>
            </w:r>
            <w:r>
              <w:rPr>
                <w:rFonts w:hint="default" w:ascii="Calibri" w:hAnsi="Calibri" w:eastAsia="宋体" w:cs="Times New Roman"/>
                <w:kern w:val="2"/>
                <w:sz w:val="21"/>
                <w:szCs w:val="24"/>
                <w:highlight w:val="none"/>
                <w:vertAlign w:val="baseline"/>
                <w:lang w:val="en-US" w:eastAsia="zh-CN" w:bidi="ar-SA"/>
              </w:rPr>
              <w:t>充分保证原材料的质量,</w:t>
            </w:r>
            <w:r>
              <w:rPr>
                <w:rFonts w:hint="eastAsia" w:ascii="Calibri" w:hAnsi="Calibri" w:eastAsia="宋体" w:cs="Times New Roman"/>
                <w:kern w:val="2"/>
                <w:sz w:val="21"/>
                <w:szCs w:val="24"/>
                <w:highlight w:val="none"/>
                <w:vertAlign w:val="baseline"/>
                <w:lang w:val="en-US" w:eastAsia="zh-CN" w:bidi="ar-SA"/>
              </w:rPr>
              <w:t>如何</w:t>
            </w:r>
            <w:r>
              <w:rPr>
                <w:rFonts w:hint="default" w:ascii="Calibri" w:hAnsi="Calibri" w:eastAsia="宋体" w:cs="Times New Roman"/>
                <w:kern w:val="2"/>
                <w:sz w:val="21"/>
                <w:szCs w:val="24"/>
                <w:highlight w:val="none"/>
                <w:vertAlign w:val="baseline"/>
                <w:lang w:val="en-US" w:eastAsia="zh-CN" w:bidi="ar-SA"/>
              </w:rPr>
              <w:t>确保原材料的质量符合标准,以免影响成品质量。</w:t>
            </w:r>
            <w:r>
              <w:rPr>
                <w:rFonts w:hint="eastAsia" w:ascii="宋体" w:hAnsi="宋体" w:cs="宋体"/>
                <w:b w:val="0"/>
                <w:bCs w:val="0"/>
                <w:color w:val="000000"/>
                <w:szCs w:val="21"/>
                <w:highlight w:val="none"/>
                <w:lang w:eastAsia="zh-CN"/>
              </w:rPr>
              <w:t>）</w:t>
            </w:r>
          </w:p>
        </w:tc>
        <w:tc>
          <w:tcPr>
            <w:tcW w:w="804" w:type="dxa"/>
            <w:vAlign w:val="center"/>
          </w:tcPr>
          <w:p>
            <w:pPr>
              <w:jc w:val="center"/>
              <w:rPr>
                <w:rFonts w:hint="default" w:ascii="Calibri" w:hAnsi="Calibri" w:eastAsia="宋体" w:cs="Times New Roman"/>
                <w:kern w:val="2"/>
                <w:sz w:val="21"/>
                <w:szCs w:val="24"/>
                <w:highlight w:val="none"/>
                <w:lang w:val="en-US" w:eastAsia="zh-CN" w:bidi="ar-SA"/>
              </w:rPr>
            </w:pPr>
            <w:r>
              <w:rPr>
                <w:rFonts w:hint="eastAsia"/>
                <w:highlight w:val="none"/>
                <w:vertAlign w:val="baseline"/>
                <w:lang w:val="en-US" w:eastAsia="zh-CN"/>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1061" w:type="dxa"/>
            <w:vMerge w:val="continue"/>
            <w:vAlign w:val="center"/>
          </w:tcPr>
          <w:p>
            <w:pPr>
              <w:jc w:val="center"/>
              <w:rPr>
                <w:vertAlign w:val="baseline"/>
              </w:rPr>
            </w:pPr>
          </w:p>
        </w:tc>
        <w:tc>
          <w:tcPr>
            <w:tcW w:w="838" w:type="dxa"/>
            <w:vMerge w:val="continue"/>
            <w:vAlign w:val="center"/>
          </w:tcPr>
          <w:p>
            <w:pPr>
              <w:jc w:val="center"/>
              <w:rPr>
                <w:rFonts w:hint="eastAsia"/>
                <w:vertAlign w:val="baseline"/>
                <w:lang w:val="en-US" w:eastAsia="zh-CN"/>
              </w:rPr>
            </w:pPr>
          </w:p>
        </w:tc>
        <w:tc>
          <w:tcPr>
            <w:tcW w:w="933" w:type="dxa"/>
            <w:vAlign w:val="center"/>
          </w:tcPr>
          <w:p>
            <w:pPr>
              <w:keepNext w:val="0"/>
              <w:keepLines w:val="0"/>
              <w:pageBreakBefore w:val="0"/>
              <w:kinsoku/>
              <w:wordWrap/>
              <w:overflowPunct/>
              <w:topLinePunct w:val="0"/>
              <w:autoSpaceDE/>
              <w:autoSpaceDN/>
              <w:bidi w:val="0"/>
              <w:snapToGrid w:val="0"/>
              <w:spacing w:line="300" w:lineRule="auto"/>
              <w:jc w:val="center"/>
              <w:textAlignment w:val="auto"/>
              <w:rPr>
                <w:rFonts w:hint="eastAsia" w:ascii="Calibri" w:hAnsi="Calibri" w:cs="Times New Roman" w:eastAsiaTheme="minorEastAsia"/>
                <w:kern w:val="2"/>
                <w:sz w:val="21"/>
                <w:szCs w:val="24"/>
                <w:highlight w:val="none"/>
                <w:vertAlign w:val="baseline"/>
                <w:lang w:val="en-US" w:eastAsia="zh-CN" w:bidi="ar-SA"/>
              </w:rPr>
            </w:pPr>
            <w:r>
              <w:rPr>
                <w:rFonts w:hint="eastAsia" w:ascii="宋体" w:hAnsi="宋体" w:cs="宋体"/>
                <w:szCs w:val="21"/>
                <w:highlight w:val="none"/>
              </w:rPr>
              <w:t>售后服务方案</w:t>
            </w:r>
          </w:p>
        </w:tc>
        <w:tc>
          <w:tcPr>
            <w:tcW w:w="5907" w:type="dxa"/>
            <w:vAlign w:val="center"/>
          </w:tcPr>
          <w:p>
            <w:pPr>
              <w:keepNext w:val="0"/>
              <w:keepLines w:val="0"/>
              <w:pageBreakBefore w:val="0"/>
              <w:kinsoku/>
              <w:wordWrap/>
              <w:overflowPunct/>
              <w:topLinePunct w:val="0"/>
              <w:autoSpaceDE/>
              <w:autoSpaceDN/>
              <w:bidi w:val="0"/>
              <w:snapToGrid w:val="0"/>
              <w:spacing w:line="300" w:lineRule="auto"/>
              <w:jc w:val="left"/>
              <w:textAlignment w:val="auto"/>
            </w:pPr>
            <w:r>
              <w:rPr>
                <w:rFonts w:hint="eastAsia"/>
              </w:rPr>
              <w:t>对投标人提供的售后服务方案就以下因素进行评审：</w:t>
            </w:r>
          </w:p>
          <w:p>
            <w:pPr>
              <w:keepNext w:val="0"/>
              <w:keepLines w:val="0"/>
              <w:pageBreakBefore w:val="0"/>
              <w:numPr>
                <w:ilvl w:val="0"/>
                <w:numId w:val="6"/>
              </w:numPr>
              <w:kinsoku/>
              <w:wordWrap/>
              <w:overflowPunct/>
              <w:topLinePunct w:val="0"/>
              <w:autoSpaceDE/>
              <w:autoSpaceDN/>
              <w:bidi w:val="0"/>
              <w:snapToGrid w:val="0"/>
              <w:spacing w:line="300" w:lineRule="auto"/>
              <w:jc w:val="left"/>
              <w:textAlignment w:val="auto"/>
            </w:pPr>
            <w:r>
              <w:rPr>
                <w:rFonts w:hint="eastAsia"/>
                <w:lang w:eastAsia="zh-CN"/>
              </w:rPr>
              <w:t>质保期响应招标文件要求，在招标文件要求基础上每增加1年得1分，满分2分。投标文件内附由法定代表人或授权委托人签字并加盖投标人公章的承诺书。</w:t>
            </w:r>
          </w:p>
          <w:p>
            <w:pPr>
              <w:keepNext w:val="0"/>
              <w:keepLines w:val="0"/>
              <w:pageBreakBefore w:val="0"/>
              <w:numPr>
                <w:ilvl w:val="0"/>
                <w:numId w:val="6"/>
              </w:numPr>
              <w:kinsoku/>
              <w:wordWrap/>
              <w:overflowPunct/>
              <w:topLinePunct w:val="0"/>
              <w:autoSpaceDE/>
              <w:autoSpaceDN/>
              <w:bidi w:val="0"/>
              <w:snapToGrid w:val="0"/>
              <w:spacing w:line="300" w:lineRule="auto"/>
              <w:jc w:val="left"/>
              <w:textAlignment w:val="auto"/>
            </w:pPr>
            <w:r>
              <w:rPr>
                <w:rFonts w:hint="eastAsia"/>
              </w:rPr>
              <w:t>投标人对消防救援队伍提出的维修需求,要及时响应、远程指导修复。对远程指导不能修复的,要派技术人员48小时内到场维修。国内有配件的一般故障在48小时内修复,较大故障一周内修复。国内没有配件的,应在60日内提供配件并修复。</w:t>
            </w:r>
            <w:r>
              <w:rPr>
                <w:rFonts w:hint="eastAsia"/>
                <w:lang w:val="en-US" w:eastAsia="zh-CN"/>
              </w:rPr>
              <w:t>提供承诺同时</w:t>
            </w:r>
            <w:r>
              <w:rPr>
                <w:rFonts w:hint="eastAsia"/>
              </w:rPr>
              <w:t>设立24小时值守电话得</w:t>
            </w:r>
            <w:r>
              <w:rPr>
                <w:rFonts w:hint="eastAsia"/>
                <w:lang w:val="en-US" w:eastAsia="zh-CN"/>
              </w:rPr>
              <w:t>2</w:t>
            </w:r>
            <w:r>
              <w:rPr>
                <w:rFonts w:hint="eastAsia"/>
              </w:rPr>
              <w:t>分，不</w:t>
            </w:r>
            <w:r>
              <w:rPr>
                <w:rFonts w:hint="eastAsia"/>
                <w:lang w:val="en-US" w:eastAsia="zh-CN"/>
              </w:rPr>
              <w:t>符合</w:t>
            </w:r>
            <w:r>
              <w:rPr>
                <w:rFonts w:hint="eastAsia"/>
              </w:rPr>
              <w:t>或未提供该项内容得0分。</w:t>
            </w:r>
          </w:p>
          <w:p>
            <w:pPr>
              <w:keepNext w:val="0"/>
              <w:keepLines w:val="0"/>
              <w:pageBreakBefore w:val="0"/>
              <w:numPr>
                <w:ilvl w:val="0"/>
                <w:numId w:val="6"/>
              </w:numPr>
              <w:kinsoku/>
              <w:wordWrap/>
              <w:overflowPunct/>
              <w:topLinePunct w:val="0"/>
              <w:autoSpaceDE/>
              <w:autoSpaceDN/>
              <w:bidi w:val="0"/>
              <w:snapToGrid w:val="0"/>
              <w:spacing w:line="300" w:lineRule="auto"/>
              <w:jc w:val="left"/>
              <w:textAlignment w:val="auto"/>
              <w:rPr>
                <w:rFonts w:hint="eastAsia"/>
                <w:lang w:val="en-US" w:eastAsia="zh-CN"/>
              </w:rPr>
            </w:pPr>
            <w:r>
              <w:rPr>
                <w:rFonts w:hint="eastAsia"/>
              </w:rPr>
              <w:t>售后服务措施可行且有处罚承诺得</w:t>
            </w:r>
            <w:r>
              <w:rPr>
                <w:rFonts w:hint="eastAsia"/>
                <w:lang w:val="en-US" w:eastAsia="zh-CN"/>
              </w:rPr>
              <w:t>1</w:t>
            </w:r>
            <w:r>
              <w:rPr>
                <w:rFonts w:hint="eastAsia"/>
              </w:rPr>
              <w:t>分，不可行、无处罚承诺或未提供该项内容得0分。</w:t>
            </w:r>
          </w:p>
          <w:p>
            <w:pPr>
              <w:keepNext w:val="0"/>
              <w:keepLines w:val="0"/>
              <w:pageBreakBefore w:val="0"/>
              <w:numPr>
                <w:ilvl w:val="0"/>
                <w:numId w:val="6"/>
              </w:numPr>
              <w:kinsoku/>
              <w:wordWrap/>
              <w:overflowPunct/>
              <w:topLinePunct w:val="0"/>
              <w:autoSpaceDE/>
              <w:autoSpaceDN/>
              <w:bidi w:val="0"/>
              <w:snapToGrid w:val="0"/>
              <w:spacing w:line="300" w:lineRule="auto"/>
              <w:jc w:val="left"/>
              <w:textAlignment w:val="auto"/>
              <w:rPr>
                <w:rFonts w:hint="default"/>
                <w:lang w:val="en-US" w:eastAsia="zh-CN"/>
              </w:rPr>
            </w:pPr>
            <w:r>
              <w:rPr>
                <w:rFonts w:hint="eastAsia"/>
                <w:lang w:val="en-US" w:eastAsia="zh-CN"/>
              </w:rPr>
              <w:t>具备售后服务团队、售后服务人员经验和配置合理、响应时间、备品备件供货方案、回访和巡检经验，定期安排技术人员针对产品的使用环境、使用频率及更新等进行回访、巡检、维护、保养等方案，方案合理、</w:t>
            </w:r>
            <w:r>
              <w:rPr>
                <w:rFonts w:hint="eastAsia"/>
              </w:rPr>
              <w:t>可行得</w:t>
            </w:r>
            <w:r>
              <w:rPr>
                <w:rFonts w:hint="eastAsia"/>
                <w:lang w:val="en-US" w:eastAsia="zh-CN"/>
              </w:rPr>
              <w:t>2</w:t>
            </w:r>
            <w:r>
              <w:rPr>
                <w:rFonts w:hint="eastAsia"/>
              </w:rPr>
              <w:t>分</w:t>
            </w:r>
            <w:r>
              <w:rPr>
                <w:rFonts w:hint="eastAsia"/>
                <w:lang w:val="en-US" w:eastAsia="zh-CN"/>
              </w:rPr>
              <w:t>，</w:t>
            </w:r>
            <w:r>
              <w:rPr>
                <w:rFonts w:hint="eastAsia"/>
              </w:rPr>
              <w:t>不可行或未提供该项内容得</w:t>
            </w:r>
            <w:r>
              <w:rPr>
                <w:rFonts w:hint="eastAsia"/>
                <w:lang w:val="en-US" w:eastAsia="zh-CN"/>
              </w:rPr>
              <w:t>0</w:t>
            </w:r>
            <w:r>
              <w:rPr>
                <w:rFonts w:hint="eastAsia"/>
              </w:rPr>
              <w:t>分。</w:t>
            </w:r>
          </w:p>
          <w:p>
            <w:pPr>
              <w:keepNext w:val="0"/>
              <w:keepLines w:val="0"/>
              <w:pageBreakBefore w:val="0"/>
              <w:numPr>
                <w:ilvl w:val="0"/>
                <w:numId w:val="6"/>
              </w:numPr>
              <w:kinsoku/>
              <w:wordWrap/>
              <w:overflowPunct/>
              <w:topLinePunct w:val="0"/>
              <w:autoSpaceDE/>
              <w:autoSpaceDN/>
              <w:bidi w:val="0"/>
              <w:snapToGrid w:val="0"/>
              <w:spacing w:line="300" w:lineRule="auto"/>
              <w:ind w:left="0" w:leftChars="0" w:firstLine="0" w:firstLineChars="0"/>
              <w:jc w:val="left"/>
              <w:textAlignment w:val="auto"/>
              <w:rPr>
                <w:rFonts w:hint="default"/>
                <w:lang w:val="en-US" w:eastAsia="zh-CN"/>
              </w:rPr>
            </w:pPr>
            <w:r>
              <w:rPr>
                <w:rFonts w:hint="eastAsia"/>
                <w:lang w:val="en-US" w:eastAsia="zh-CN"/>
              </w:rPr>
              <w:t>若在质保期内，非人为因素发生的质量问题，投标人需进行无偿质量维修和预防性维护服务，最快速度进行返工或调换。有此承诺得2分，未提供此承诺或提供该内容不完整得0分。</w:t>
            </w:r>
          </w:p>
          <w:p>
            <w:pPr>
              <w:keepNext w:val="0"/>
              <w:keepLines w:val="0"/>
              <w:pageBreakBefore w:val="0"/>
              <w:numPr>
                <w:ilvl w:val="0"/>
                <w:numId w:val="6"/>
              </w:numPr>
              <w:kinsoku/>
              <w:wordWrap/>
              <w:overflowPunct/>
              <w:topLinePunct w:val="0"/>
              <w:autoSpaceDE/>
              <w:autoSpaceDN/>
              <w:bidi w:val="0"/>
              <w:snapToGrid w:val="0"/>
              <w:spacing w:line="300" w:lineRule="auto"/>
              <w:jc w:val="left"/>
              <w:textAlignment w:val="auto"/>
            </w:pPr>
            <w:r>
              <w:rPr>
                <w:rFonts w:hint="eastAsia" w:ascii="Calibri" w:hAnsi="Calibri" w:eastAsia="宋体" w:cs="Times New Roman"/>
                <w:color w:val="auto"/>
                <w:kern w:val="2"/>
                <w:sz w:val="21"/>
                <w:szCs w:val="24"/>
                <w:highlight w:val="none"/>
                <w:lang w:val="en-US" w:eastAsia="zh-CN" w:bidi="ar-SA"/>
              </w:rPr>
              <w:t>结合项目实际需求，制定包括但不限于培训内容、培</w:t>
            </w:r>
            <w:r>
              <w:rPr>
                <w:rFonts w:hint="eastAsia" w:eastAsia="宋体" w:cs="Times New Roman"/>
                <w:lang w:val="en-US" w:eastAsia="zh-CN"/>
              </w:rPr>
              <w:t>训方式、培训频次、培训团队配备等技术培训方案，方案合理、可行得</w:t>
            </w:r>
            <w:r>
              <w:rPr>
                <w:rFonts w:hint="eastAsia" w:cs="Times New Roman"/>
                <w:lang w:val="en-US" w:eastAsia="zh-CN"/>
              </w:rPr>
              <w:t>2</w:t>
            </w:r>
            <w:r>
              <w:rPr>
                <w:rFonts w:hint="eastAsia" w:eastAsia="宋体" w:cs="Times New Roman"/>
                <w:lang w:val="en-US" w:eastAsia="zh-CN"/>
              </w:rPr>
              <w:t>分，不可行或未提供该项内容得0分。</w:t>
            </w:r>
          </w:p>
          <w:p>
            <w:pPr>
              <w:pStyle w:val="2"/>
              <w:ind w:left="0" w:leftChars="0" w:firstLine="0" w:firstLineChars="0"/>
              <w:rPr>
                <w:rFonts w:hint="default" w:ascii="Calibri" w:hAnsi="Calibri" w:eastAsia="宋体" w:cs="Times New Roman"/>
                <w:kern w:val="2"/>
                <w:sz w:val="21"/>
                <w:szCs w:val="24"/>
                <w:lang w:val="en-US" w:eastAsia="zh-CN" w:bidi="ar-SA"/>
              </w:rPr>
            </w:pPr>
            <w:r>
              <w:rPr>
                <w:rFonts w:hint="eastAsia" w:ascii="Calibri" w:hAnsi="Calibri" w:eastAsia="宋体" w:cs="Times New Roman"/>
                <w:color w:val="auto"/>
                <w:kern w:val="2"/>
                <w:sz w:val="21"/>
                <w:szCs w:val="24"/>
                <w:highlight w:val="none"/>
                <w:lang w:val="en-US" w:eastAsia="zh-CN" w:bidi="ar-SA"/>
              </w:rPr>
              <w:t>（7）投标人需提供应急事故响应及处理方案（①如可能发生的应急事故情况分析；②紧急安全保障措施）方案合理、可行得</w:t>
            </w:r>
            <w:r>
              <w:rPr>
                <w:rFonts w:hint="eastAsia" w:cs="Times New Roman"/>
                <w:color w:val="auto"/>
                <w:kern w:val="2"/>
                <w:sz w:val="21"/>
                <w:szCs w:val="24"/>
                <w:highlight w:val="none"/>
                <w:lang w:val="en-US" w:eastAsia="zh-CN" w:bidi="ar-SA"/>
              </w:rPr>
              <w:t>2</w:t>
            </w:r>
            <w:r>
              <w:rPr>
                <w:rFonts w:hint="eastAsia" w:ascii="Calibri" w:hAnsi="Calibri" w:eastAsia="宋体" w:cs="Times New Roman"/>
                <w:color w:val="auto"/>
                <w:kern w:val="2"/>
                <w:sz w:val="21"/>
                <w:szCs w:val="24"/>
                <w:highlight w:val="none"/>
                <w:lang w:val="en-US" w:eastAsia="zh-CN" w:bidi="ar-SA"/>
              </w:rPr>
              <w:t>分，不可行或未提供该项内容得0分。</w:t>
            </w:r>
          </w:p>
        </w:tc>
        <w:tc>
          <w:tcPr>
            <w:tcW w:w="804" w:type="dxa"/>
            <w:vAlign w:val="center"/>
          </w:tcPr>
          <w:p>
            <w:pPr>
              <w:jc w:val="center"/>
              <w:rPr>
                <w:rFonts w:hint="default" w:ascii="Calibri" w:hAnsi="Calibri" w:eastAsia="宋体" w:cs="Times New Roman"/>
                <w:kern w:val="2"/>
                <w:sz w:val="21"/>
                <w:szCs w:val="24"/>
                <w:highlight w:val="none"/>
                <w:vertAlign w:val="baseline"/>
                <w:lang w:val="en-US" w:eastAsia="zh-CN" w:bidi="ar-SA"/>
              </w:rPr>
            </w:pPr>
            <w:r>
              <w:rPr>
                <w:rFonts w:hint="eastAsia"/>
                <w:highlight w:val="none"/>
                <w:vertAlign w:val="baseline"/>
                <w:lang w:val="en-US" w:eastAsia="zh-CN"/>
              </w:rPr>
              <w:t>0-13</w:t>
            </w:r>
          </w:p>
        </w:tc>
      </w:tr>
      <w:bookmarkEnd w:id="79"/>
      <w:bookmarkEnd w:id="80"/>
      <w:bookmarkEnd w:id="81"/>
      <w:bookmarkEnd w:id="82"/>
    </w:tbl>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评标总得分＝F1×A1＋F2×A2＋……＋Fn×An</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F1、F2……Fn分别为各项评审因素的得分；</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A1、A2、……An 分别为各项评审因素所占的权重(A1＋A2＋……＋An＝1)。</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1.3.2.2评标委员会在评审时，价格分加分：</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1）、对于列入财政部、国家环保总局发布的《</w:t>
      </w:r>
      <w:r>
        <w:rPr>
          <w:rFonts w:hint="eastAsia" w:ascii="宋体" w:hAnsi="宋体" w:cs="宋体"/>
          <w:color w:val="auto"/>
          <w:sz w:val="24"/>
          <w:szCs w:val="24"/>
          <w:highlight w:val="none"/>
          <w:lang w:eastAsia="zh-CN"/>
        </w:rPr>
        <w:t>环境标志产品政府采购品目清单</w:t>
      </w:r>
      <w:r>
        <w:rPr>
          <w:rFonts w:hint="eastAsia" w:ascii="宋体" w:hAnsi="宋体" w:eastAsia="宋体" w:cs="宋体"/>
          <w:color w:val="auto"/>
          <w:sz w:val="24"/>
          <w:szCs w:val="24"/>
          <w:highlight w:val="none"/>
        </w:rPr>
        <w:t>》的产品，对其投标价格给予3%的价格扣除，并按照扣除后的价格参加排序。采购项目或者分包中既包含环境标志产品也包含非环境标志产品的，只对列入《</w:t>
      </w:r>
      <w:r>
        <w:rPr>
          <w:rFonts w:hint="eastAsia" w:ascii="宋体" w:hAnsi="宋体" w:cs="宋体"/>
          <w:color w:val="auto"/>
          <w:sz w:val="24"/>
          <w:szCs w:val="24"/>
          <w:highlight w:val="none"/>
          <w:lang w:eastAsia="zh-CN"/>
        </w:rPr>
        <w:t>环境标志产品政府采购品目清单</w:t>
      </w:r>
      <w:r>
        <w:rPr>
          <w:rFonts w:hint="eastAsia" w:ascii="宋体" w:hAnsi="宋体" w:eastAsia="宋体" w:cs="宋体"/>
          <w:color w:val="auto"/>
          <w:sz w:val="24"/>
          <w:szCs w:val="24"/>
          <w:highlight w:val="none"/>
        </w:rPr>
        <w:t>》的产品按其在总报价中所占的比例给予价格扣除。</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2）、对于列入财政部、国家发改委发布的《</w:t>
      </w:r>
      <w:r>
        <w:rPr>
          <w:rFonts w:hint="eastAsia" w:ascii="宋体" w:hAnsi="宋体" w:cs="宋体"/>
          <w:color w:val="auto"/>
          <w:sz w:val="24"/>
          <w:szCs w:val="24"/>
          <w:highlight w:val="none"/>
          <w:lang w:eastAsia="zh-CN"/>
        </w:rPr>
        <w:t>节能产品政府采购品目清单</w:t>
      </w:r>
      <w:r>
        <w:rPr>
          <w:rFonts w:hint="eastAsia" w:ascii="宋体" w:hAnsi="宋体" w:eastAsia="宋体" w:cs="宋体"/>
          <w:color w:val="auto"/>
          <w:sz w:val="24"/>
          <w:szCs w:val="24"/>
          <w:highlight w:val="none"/>
        </w:rPr>
        <w:t>》但不属于国家强制采购的产品，对其投标价格给予3%的价格扣除，并按照扣除后的价格参加排序。采购项目或者分包中既包含节能产品也包含非节能产品的，只对列入《</w:t>
      </w:r>
      <w:r>
        <w:rPr>
          <w:rFonts w:hint="eastAsia" w:ascii="宋体" w:hAnsi="宋体" w:cs="宋体"/>
          <w:color w:val="auto"/>
          <w:sz w:val="24"/>
          <w:szCs w:val="24"/>
          <w:highlight w:val="none"/>
          <w:lang w:eastAsia="zh-CN"/>
        </w:rPr>
        <w:t>节能产品政府采购品目清单</w:t>
      </w:r>
      <w:r>
        <w:rPr>
          <w:rFonts w:hint="eastAsia" w:ascii="宋体" w:hAnsi="宋体" w:eastAsia="宋体" w:cs="宋体"/>
          <w:color w:val="auto"/>
          <w:sz w:val="24"/>
          <w:szCs w:val="24"/>
          <w:highlight w:val="none"/>
        </w:rPr>
        <w:t>》但不属于国家强制采购的产品按其在总报价中所占的比例给予价格扣除。</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对于供应商所提供产品纳入财政部公布的《政府采购自主创新产品目录》的产品，按照《财政部关于印发〈自主创新产品政府采购评审办法〉的通知》（财库[2008]30号）文件规定执行。采购项目或者分包中既包含自主创新产品也包含非自主创新产品的，只对纳入《政府采购自主创新产品目录》的产品按其在总报价中所占的比例给予价格扣除。</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对于列入财政部、国家发改委、信息产业部发布的《无线局域网认证产品政府采购清单》的产品，对其投标价格给予3%的价格扣除，并按扣除后的价格参加排序。采购项目或者分包中既包含清单中产品也包含非清单中产品的，只对列入清单的产品按其在总报价中所占的比例给予价格扣除。</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投标产品同时列入上述多个清单的，将上述规定的价格扣除比例叠加后计算价格扣除。</w:t>
      </w:r>
    </w:p>
    <w:p>
      <w:pPr>
        <w:spacing w:line="360" w:lineRule="auto"/>
        <w:ind w:firstLine="240" w:firstLineChars="100"/>
        <w:rPr>
          <w:rFonts w:hint="eastAsia" w:ascii="宋体" w:hAnsi="宋体" w:cs="宋体"/>
          <w:color w:val="auto"/>
          <w:sz w:val="24"/>
          <w:highlight w:val="none"/>
        </w:rPr>
      </w:pPr>
      <w:r>
        <w:rPr>
          <w:rFonts w:hint="eastAsia" w:ascii="宋体" w:hAnsi="宋体" w:cs="宋体"/>
          <w:color w:val="auto"/>
          <w:sz w:val="24"/>
          <w:highlight w:val="none"/>
        </w:rPr>
        <w:t>（5）根据财库【20</w:t>
      </w:r>
      <w:r>
        <w:rPr>
          <w:rFonts w:hint="eastAsia" w:ascii="宋体" w:hAnsi="宋体" w:cs="宋体"/>
          <w:color w:val="auto"/>
          <w:sz w:val="24"/>
          <w:highlight w:val="none"/>
          <w:lang w:val="en-US" w:eastAsia="zh-CN"/>
        </w:rPr>
        <w:t>22</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19</w:t>
      </w:r>
      <w:r>
        <w:rPr>
          <w:rFonts w:hint="eastAsia" w:ascii="宋体" w:hAnsi="宋体" w:cs="宋体"/>
          <w:color w:val="auto"/>
          <w:sz w:val="24"/>
          <w:highlight w:val="none"/>
        </w:rPr>
        <w:t>号文件规定，对小型和微型企业的产品给予</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%的价格扣除，并按照扣除后的价格参加</w:t>
      </w:r>
      <w:r>
        <w:rPr>
          <w:rFonts w:hint="eastAsia" w:ascii="宋体" w:hAnsi="宋体" w:cs="宋体"/>
          <w:color w:val="auto"/>
          <w:sz w:val="24"/>
          <w:highlight w:val="none"/>
          <w:lang w:eastAsia="zh-CN"/>
        </w:rPr>
        <w:t>评审</w:t>
      </w:r>
      <w:r>
        <w:rPr>
          <w:rFonts w:hint="eastAsia" w:ascii="宋体" w:hAnsi="宋体" w:cs="宋体"/>
          <w:color w:val="auto"/>
          <w:sz w:val="24"/>
          <w:highlight w:val="none"/>
        </w:rPr>
        <w:t>。</w:t>
      </w:r>
    </w:p>
    <w:p>
      <w:pPr>
        <w:spacing w:line="360" w:lineRule="auto"/>
        <w:ind w:firstLine="240" w:firstLineChars="100"/>
        <w:rPr>
          <w:rFonts w:ascii="宋体" w:hAnsi="宋体"/>
          <w:color w:val="auto"/>
          <w:sz w:val="24"/>
          <w:highlight w:val="none"/>
        </w:rPr>
      </w:pPr>
      <w:r>
        <w:rPr>
          <w:rFonts w:hint="eastAsia" w:ascii="宋体" w:hAnsi="宋体"/>
          <w:color w:val="auto"/>
          <w:sz w:val="24"/>
          <w:highlight w:val="none"/>
        </w:rPr>
        <w:t>（</w:t>
      </w:r>
      <w:r>
        <w:rPr>
          <w:rFonts w:hint="eastAsia" w:ascii="宋体" w:hAnsi="宋体"/>
          <w:color w:val="auto"/>
          <w:sz w:val="24"/>
          <w:highlight w:val="none"/>
          <w:lang w:val="en-US" w:eastAsia="zh-CN"/>
        </w:rPr>
        <w:t>6</w:t>
      </w:r>
      <w:r>
        <w:rPr>
          <w:rFonts w:hint="eastAsia" w:ascii="宋体" w:hAnsi="宋体"/>
          <w:color w:val="auto"/>
          <w:sz w:val="24"/>
          <w:highlight w:val="none"/>
        </w:rPr>
        <w:t>）监狱企业视同小型、微型企业，监狱企业投标的提供由省级以上监狱管理局、戒毒管理局(含新疆生产建设兵团)出具的属于监狱企业的证明文件，不再提供《中小微企业声明函》；</w:t>
      </w:r>
    </w:p>
    <w:p>
      <w:pPr>
        <w:spacing w:line="360" w:lineRule="auto"/>
        <w:ind w:firstLine="240" w:firstLineChars="100"/>
        <w:rPr>
          <w:rFonts w:ascii="宋体" w:hAnsi="宋体"/>
          <w:color w:val="auto"/>
          <w:sz w:val="24"/>
          <w:highlight w:val="none"/>
        </w:rPr>
      </w:pPr>
      <w:r>
        <w:rPr>
          <w:rFonts w:hint="eastAsia" w:ascii="宋体" w:hAnsi="宋体"/>
          <w:color w:val="auto"/>
          <w:sz w:val="24"/>
          <w:highlight w:val="none"/>
        </w:rPr>
        <w:t>（</w:t>
      </w:r>
      <w:r>
        <w:rPr>
          <w:rFonts w:hint="eastAsia" w:ascii="宋体" w:hAnsi="宋体"/>
          <w:color w:val="auto"/>
          <w:sz w:val="24"/>
          <w:highlight w:val="none"/>
          <w:lang w:val="en-US" w:eastAsia="zh-CN"/>
        </w:rPr>
        <w:t>7</w:t>
      </w:r>
      <w:r>
        <w:rPr>
          <w:rFonts w:hint="eastAsia" w:ascii="宋体" w:hAnsi="宋体"/>
          <w:color w:val="auto"/>
          <w:sz w:val="24"/>
          <w:highlight w:val="none"/>
        </w:rPr>
        <w:t>）残疾人福利性单位视同小型、微型企业，残疾人福利性单位属于小型、微型企业的，不重复享受政策。符合条件的残疾人福利性单位在参加政府采购活动时，应当提供《残疾人福利性单位声明函》。</w:t>
      </w:r>
    </w:p>
    <w:p>
      <w:pPr>
        <w:spacing w:line="360" w:lineRule="auto"/>
        <w:ind w:firstLine="240" w:firstLineChars="100"/>
        <w:rPr>
          <w:rFonts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8</w:t>
      </w:r>
      <w:r>
        <w:rPr>
          <w:rFonts w:hint="eastAsia" w:ascii="宋体" w:hAnsi="宋体" w:cs="宋体"/>
          <w:color w:val="auto"/>
          <w:sz w:val="24"/>
          <w:highlight w:val="none"/>
        </w:rPr>
        <w:t>）价格扣除的依据：第（1）至（4）条提供投标货物相关认证证书复印件加盖投标人公章。第（5）</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7</w:t>
      </w:r>
      <w:r>
        <w:rPr>
          <w:rFonts w:hint="eastAsia" w:ascii="宋体" w:hAnsi="宋体" w:cs="宋体"/>
          <w:color w:val="auto"/>
          <w:sz w:val="24"/>
          <w:highlight w:val="none"/>
          <w:lang w:eastAsia="zh-CN"/>
        </w:rPr>
        <w:t>）</w:t>
      </w:r>
      <w:r>
        <w:rPr>
          <w:rFonts w:hint="eastAsia" w:ascii="宋体" w:hAnsi="宋体" w:cs="宋体"/>
          <w:color w:val="auto"/>
          <w:sz w:val="24"/>
          <w:highlight w:val="none"/>
        </w:rPr>
        <w:t>条提供</w:t>
      </w:r>
      <w:r>
        <w:rPr>
          <w:rFonts w:hint="eastAsia" w:ascii="宋体" w:hAnsi="宋体"/>
          <w:color w:val="auto"/>
          <w:sz w:val="24"/>
          <w:highlight w:val="none"/>
        </w:rPr>
        <w:t>供《中小微企业声明函》</w:t>
      </w:r>
      <w:r>
        <w:rPr>
          <w:rFonts w:hint="eastAsia" w:ascii="宋体" w:hAnsi="宋体"/>
          <w:color w:val="auto"/>
          <w:sz w:val="24"/>
          <w:highlight w:val="none"/>
          <w:lang w:eastAsia="zh-CN"/>
        </w:rPr>
        <w:t>、</w:t>
      </w:r>
      <w:r>
        <w:rPr>
          <w:rFonts w:hint="eastAsia" w:ascii="宋体" w:hAnsi="宋体"/>
          <w:color w:val="auto"/>
          <w:sz w:val="24"/>
          <w:highlight w:val="none"/>
        </w:rPr>
        <w:t>《残疾人福利性单位声明函》</w:t>
      </w:r>
      <w:r>
        <w:rPr>
          <w:rFonts w:hint="eastAsia" w:ascii="宋体" w:hAnsi="宋体" w:cs="宋体"/>
          <w:color w:val="auto"/>
          <w:sz w:val="24"/>
          <w:highlight w:val="none"/>
        </w:rPr>
        <w:t>。</w:t>
      </w:r>
    </w:p>
    <w:p>
      <w:pPr>
        <w:pStyle w:val="19"/>
        <w:spacing w:beforeAutospacing="0" w:afterAutospacing="0" w:line="360" w:lineRule="auto"/>
        <w:jc w:val="both"/>
        <w:rPr>
          <w:rFonts w:ascii="仿宋_GB2312" w:eastAsia="仿宋_GB2312" w:cs="Times New Roman"/>
          <w:color w:val="auto"/>
          <w:kern w:val="2"/>
          <w:highlight w:val="none"/>
        </w:rPr>
      </w:pPr>
      <w:r>
        <w:rPr>
          <w:rFonts w:hint="eastAsia"/>
          <w:color w:val="auto"/>
          <w:kern w:val="2"/>
          <w:highlight w:val="none"/>
        </w:rPr>
        <w:t>1.4编写评标报告，推荐中标候选供应商名单：3名。</w:t>
      </w:r>
    </w:p>
    <w:p>
      <w:pPr>
        <w:pStyle w:val="5"/>
        <w:spacing w:line="360" w:lineRule="auto"/>
        <w:jc w:val="center"/>
        <w:outlineLvl w:val="9"/>
        <w:rPr>
          <w:color w:val="auto"/>
          <w:highlight w:val="none"/>
        </w:rPr>
        <w:sectPr>
          <w:headerReference r:id="rId5" w:type="default"/>
          <w:footerReference r:id="rId6" w:type="default"/>
          <w:pgSz w:w="11906" w:h="16838"/>
          <w:pgMar w:top="1361" w:right="1304" w:bottom="1247" w:left="1304" w:header="680" w:footer="680" w:gutter="0"/>
          <w:pgNumType w:start="1"/>
          <w:cols w:space="720" w:num="1"/>
          <w:docGrid w:linePitch="312" w:charSpace="0"/>
        </w:sectPr>
      </w:pPr>
    </w:p>
    <w:p>
      <w:pPr>
        <w:pStyle w:val="3"/>
        <w:bidi w:val="0"/>
        <w:spacing w:line="240" w:lineRule="auto"/>
        <w:jc w:val="center"/>
        <w:rPr>
          <w:color w:val="auto"/>
          <w:highlight w:val="none"/>
        </w:rPr>
      </w:pPr>
      <w:bookmarkStart w:id="83" w:name="_Toc7370"/>
      <w:r>
        <w:rPr>
          <w:rFonts w:hint="eastAsia"/>
          <w:color w:val="auto"/>
          <w:highlight w:val="none"/>
        </w:rPr>
        <w:t>第四章合同条款（参考格式）</w:t>
      </w:r>
      <w:bookmarkEnd w:id="83"/>
    </w:p>
    <w:p>
      <w:pPr>
        <w:pStyle w:val="5"/>
        <w:spacing w:before="0" w:after="0" w:line="240" w:lineRule="auto"/>
        <w:jc w:val="center"/>
        <w:rPr>
          <w:rFonts w:hint="eastAsia" w:ascii="宋体" w:hAnsi="宋体" w:cs="宋体"/>
          <w:color w:val="auto"/>
          <w:sz w:val="36"/>
          <w:szCs w:val="36"/>
          <w:highlight w:val="none"/>
        </w:rPr>
      </w:pPr>
      <w:r>
        <w:rPr>
          <w:rFonts w:hint="eastAsia" w:ascii="宋体" w:hAnsi="宋体" w:cs="宋体"/>
          <w:color w:val="auto"/>
          <w:highlight w:val="none"/>
        </w:rPr>
        <w:t>政府采购合同条款及格式</w:t>
      </w:r>
    </w:p>
    <w:p>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合同编号：</w:t>
      </w:r>
    </w:p>
    <w:p>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 xml:space="preserve">签订地点： </w:t>
      </w:r>
    </w:p>
    <w:p>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签订日期：</w:t>
      </w:r>
    </w:p>
    <w:p>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采购任务编号：</w:t>
      </w:r>
    </w:p>
    <w:p>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（需方、甲方、招标人</w:t>
      </w:r>
      <w:r>
        <w:rPr>
          <w:rFonts w:hint="eastAsia" w:ascii="宋体" w:hAnsi="宋体" w:cs="宋体"/>
          <w:bCs/>
          <w:color w:val="auto"/>
          <w:sz w:val="24"/>
          <w:highlight w:val="none"/>
          <w:lang w:eastAsia="zh-CN"/>
        </w:rPr>
        <w:t>、</w:t>
      </w:r>
      <w:r>
        <w:rPr>
          <w:rFonts w:hint="eastAsia" w:ascii="宋体" w:hAnsi="宋体" w:cs="宋体"/>
          <w:bCs/>
          <w:color w:val="auto"/>
          <w:sz w:val="24"/>
          <w:highlight w:val="none"/>
          <w:lang w:val="en-US" w:eastAsia="zh-CN"/>
        </w:rPr>
        <w:t>买方、采购人</w:t>
      </w:r>
      <w:r>
        <w:rPr>
          <w:rFonts w:hint="eastAsia" w:ascii="宋体" w:hAnsi="宋体" w:cs="宋体"/>
          <w:bCs/>
          <w:color w:val="auto"/>
          <w:sz w:val="24"/>
          <w:highlight w:val="none"/>
        </w:rPr>
        <w:t>）需求的“</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 xml:space="preserve">（货物名称）经        以编号为 </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的招标文件在国内公开招标，经评标委员会评定</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（供方、乙方、中标人</w:t>
      </w:r>
      <w:r>
        <w:rPr>
          <w:rFonts w:hint="eastAsia" w:ascii="宋体" w:hAnsi="宋体" w:cs="宋体"/>
          <w:bCs/>
          <w:color w:val="auto"/>
          <w:sz w:val="24"/>
          <w:highlight w:val="none"/>
          <w:lang w:eastAsia="zh-CN"/>
        </w:rPr>
        <w:t>、</w:t>
      </w:r>
      <w:r>
        <w:rPr>
          <w:rFonts w:hint="eastAsia" w:ascii="宋体" w:hAnsi="宋体" w:cs="宋体"/>
          <w:bCs/>
          <w:color w:val="auto"/>
          <w:sz w:val="24"/>
          <w:highlight w:val="none"/>
          <w:lang w:val="en-US" w:eastAsia="zh-CN"/>
        </w:rPr>
        <w:t>卖方、投标人</w:t>
      </w:r>
      <w:r>
        <w:rPr>
          <w:rFonts w:hint="eastAsia" w:ascii="宋体" w:hAnsi="宋体" w:cs="宋体"/>
          <w:bCs/>
          <w:color w:val="auto"/>
          <w:sz w:val="24"/>
          <w:highlight w:val="none"/>
        </w:rPr>
        <w:t>）（包号）为中标单位。供需双方按照《</w:t>
      </w:r>
      <w:r>
        <w:rPr>
          <w:rFonts w:hint="eastAsia" w:ascii="宋体" w:hAnsi="宋体" w:cs="宋体"/>
          <w:bCs/>
          <w:color w:val="auto"/>
          <w:sz w:val="24"/>
          <w:highlight w:val="none"/>
          <w:lang w:eastAsia="zh-CN"/>
        </w:rPr>
        <w:t>中华人民共和国民法典</w:t>
      </w:r>
      <w:r>
        <w:rPr>
          <w:rFonts w:hint="eastAsia" w:ascii="宋体" w:hAnsi="宋体" w:cs="宋体"/>
          <w:bCs/>
          <w:color w:val="auto"/>
          <w:sz w:val="24"/>
          <w:highlight w:val="none"/>
        </w:rPr>
        <w:t>》和有关法律法规，遵循平等、自愿、公平和诚实信用原则，同意按照下面的条款和条件订立本合同，共同信守。</w:t>
      </w:r>
    </w:p>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 xml:space="preserve">一、货物名称、品牌、规格、数量 </w:t>
      </w:r>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548"/>
        <w:gridCol w:w="1152"/>
        <w:gridCol w:w="2520"/>
        <w:gridCol w:w="900"/>
        <w:gridCol w:w="1260"/>
        <w:gridCol w:w="200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c>
          <w:tcPr>
            <w:tcW w:w="1548" w:type="dxa"/>
            <w:noWrap w:val="0"/>
            <w:vAlign w:val="center"/>
          </w:tcPr>
          <w:p>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货物名称</w:t>
            </w:r>
          </w:p>
        </w:tc>
        <w:tc>
          <w:tcPr>
            <w:tcW w:w="1152" w:type="dxa"/>
            <w:noWrap w:val="0"/>
            <w:vAlign w:val="center"/>
          </w:tcPr>
          <w:p>
            <w:pPr>
              <w:spacing w:line="360" w:lineRule="auto"/>
              <w:ind w:firstLine="240" w:firstLineChars="100"/>
              <w:rPr>
                <w:rFonts w:hint="eastAsia" w:ascii="宋体" w:hAnsi="宋体" w:cs="宋体"/>
                <w:color w:val="auto"/>
                <w:sz w:val="24"/>
                <w:highlight w:val="none"/>
              </w:rPr>
            </w:pPr>
            <w:r>
              <w:rPr>
                <w:rFonts w:hint="eastAsia" w:ascii="宋体" w:hAnsi="宋体" w:cs="宋体"/>
                <w:color w:val="auto"/>
                <w:sz w:val="24"/>
                <w:highlight w:val="none"/>
              </w:rPr>
              <w:t>品牌</w:t>
            </w:r>
          </w:p>
        </w:tc>
        <w:tc>
          <w:tcPr>
            <w:tcW w:w="2520" w:type="dxa"/>
            <w:noWrap w:val="0"/>
            <w:vAlign w:val="center"/>
          </w:tcPr>
          <w:p>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规格型号及配置</w:t>
            </w:r>
          </w:p>
        </w:tc>
        <w:tc>
          <w:tcPr>
            <w:tcW w:w="900" w:type="dxa"/>
            <w:noWrap w:val="0"/>
            <w:vAlign w:val="center"/>
          </w:tcPr>
          <w:p>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数量</w:t>
            </w:r>
          </w:p>
        </w:tc>
        <w:tc>
          <w:tcPr>
            <w:tcW w:w="1260" w:type="dxa"/>
            <w:noWrap w:val="0"/>
            <w:vAlign w:val="center"/>
          </w:tcPr>
          <w:p>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单价(元)</w:t>
            </w:r>
          </w:p>
        </w:tc>
        <w:tc>
          <w:tcPr>
            <w:tcW w:w="2004" w:type="dxa"/>
            <w:noWrap w:val="0"/>
            <w:vAlign w:val="center"/>
          </w:tcPr>
          <w:p>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小计金额(元)</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548" w:type="dxa"/>
            <w:noWrap w:val="0"/>
            <w:vAlign w:val="center"/>
          </w:tcPr>
          <w:p>
            <w:pPr>
              <w:spacing w:line="360" w:lineRule="auto"/>
              <w:jc w:val="center"/>
              <w:rPr>
                <w:rFonts w:hint="eastAsia" w:ascii="宋体" w:hAnsi="宋体" w:cs="宋体"/>
                <w:color w:val="auto"/>
                <w:sz w:val="24"/>
                <w:highlight w:val="none"/>
              </w:rPr>
            </w:pPr>
          </w:p>
        </w:tc>
        <w:tc>
          <w:tcPr>
            <w:tcW w:w="1152" w:type="dxa"/>
            <w:noWrap w:val="0"/>
            <w:vAlign w:val="center"/>
          </w:tcPr>
          <w:p>
            <w:pPr>
              <w:spacing w:line="360" w:lineRule="auto"/>
              <w:jc w:val="center"/>
              <w:rPr>
                <w:rFonts w:hint="eastAsia" w:ascii="宋体" w:hAnsi="宋体" w:cs="宋体"/>
                <w:color w:val="auto"/>
                <w:sz w:val="24"/>
                <w:highlight w:val="none"/>
              </w:rPr>
            </w:pPr>
          </w:p>
        </w:tc>
        <w:tc>
          <w:tcPr>
            <w:tcW w:w="2520" w:type="dxa"/>
            <w:noWrap w:val="0"/>
            <w:vAlign w:val="center"/>
          </w:tcPr>
          <w:p>
            <w:pPr>
              <w:spacing w:line="360" w:lineRule="auto"/>
              <w:jc w:val="center"/>
              <w:rPr>
                <w:rFonts w:hint="eastAsia" w:ascii="宋体" w:hAnsi="宋体" w:cs="宋体"/>
                <w:color w:val="auto"/>
                <w:sz w:val="24"/>
                <w:highlight w:val="none"/>
              </w:rPr>
            </w:pPr>
          </w:p>
        </w:tc>
        <w:tc>
          <w:tcPr>
            <w:tcW w:w="900" w:type="dxa"/>
            <w:noWrap w:val="0"/>
            <w:vAlign w:val="center"/>
          </w:tcPr>
          <w:p>
            <w:pPr>
              <w:spacing w:line="360" w:lineRule="auto"/>
              <w:jc w:val="center"/>
              <w:rPr>
                <w:rFonts w:hint="eastAsia" w:ascii="宋体" w:hAnsi="宋体" w:cs="宋体"/>
                <w:color w:val="auto"/>
                <w:sz w:val="24"/>
                <w:highlight w:val="none"/>
              </w:rPr>
            </w:pPr>
          </w:p>
        </w:tc>
        <w:tc>
          <w:tcPr>
            <w:tcW w:w="1260" w:type="dxa"/>
            <w:noWrap w:val="0"/>
            <w:vAlign w:val="center"/>
          </w:tcPr>
          <w:p>
            <w:pPr>
              <w:spacing w:line="360" w:lineRule="auto"/>
              <w:jc w:val="center"/>
              <w:rPr>
                <w:rFonts w:hint="eastAsia" w:ascii="宋体" w:hAnsi="宋体" w:cs="宋体"/>
                <w:color w:val="auto"/>
                <w:sz w:val="24"/>
                <w:highlight w:val="none"/>
              </w:rPr>
            </w:pPr>
          </w:p>
        </w:tc>
        <w:tc>
          <w:tcPr>
            <w:tcW w:w="2004" w:type="dxa"/>
            <w:noWrap w:val="0"/>
            <w:vAlign w:val="center"/>
          </w:tcPr>
          <w:p>
            <w:pPr>
              <w:spacing w:line="360" w:lineRule="auto"/>
              <w:jc w:val="center"/>
              <w:rPr>
                <w:rFonts w:hint="eastAsia"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548" w:type="dxa"/>
            <w:noWrap w:val="0"/>
            <w:vAlign w:val="center"/>
          </w:tcPr>
          <w:p>
            <w:pPr>
              <w:spacing w:line="360" w:lineRule="auto"/>
              <w:jc w:val="center"/>
              <w:rPr>
                <w:rFonts w:hint="eastAsia" w:ascii="宋体" w:hAnsi="宋体" w:cs="宋体"/>
                <w:color w:val="auto"/>
                <w:sz w:val="24"/>
                <w:highlight w:val="none"/>
              </w:rPr>
            </w:pPr>
          </w:p>
        </w:tc>
        <w:tc>
          <w:tcPr>
            <w:tcW w:w="1152" w:type="dxa"/>
            <w:noWrap w:val="0"/>
            <w:vAlign w:val="center"/>
          </w:tcPr>
          <w:p>
            <w:pPr>
              <w:spacing w:line="360" w:lineRule="auto"/>
              <w:jc w:val="center"/>
              <w:rPr>
                <w:rFonts w:hint="eastAsia" w:ascii="宋体" w:hAnsi="宋体" w:cs="宋体"/>
                <w:color w:val="auto"/>
                <w:sz w:val="24"/>
                <w:highlight w:val="none"/>
              </w:rPr>
            </w:pPr>
          </w:p>
        </w:tc>
        <w:tc>
          <w:tcPr>
            <w:tcW w:w="2520" w:type="dxa"/>
            <w:noWrap w:val="0"/>
            <w:vAlign w:val="center"/>
          </w:tcPr>
          <w:p>
            <w:pPr>
              <w:spacing w:line="360" w:lineRule="auto"/>
              <w:jc w:val="center"/>
              <w:rPr>
                <w:rFonts w:hint="eastAsia" w:ascii="宋体" w:hAnsi="宋体" w:cs="宋体"/>
                <w:color w:val="auto"/>
                <w:sz w:val="24"/>
                <w:highlight w:val="none"/>
              </w:rPr>
            </w:pPr>
          </w:p>
        </w:tc>
        <w:tc>
          <w:tcPr>
            <w:tcW w:w="900" w:type="dxa"/>
            <w:noWrap w:val="0"/>
            <w:vAlign w:val="center"/>
          </w:tcPr>
          <w:p>
            <w:pPr>
              <w:spacing w:line="360" w:lineRule="auto"/>
              <w:jc w:val="center"/>
              <w:rPr>
                <w:rFonts w:hint="eastAsia" w:ascii="宋体" w:hAnsi="宋体" w:cs="宋体"/>
                <w:color w:val="auto"/>
                <w:sz w:val="24"/>
                <w:highlight w:val="none"/>
              </w:rPr>
            </w:pPr>
          </w:p>
        </w:tc>
        <w:tc>
          <w:tcPr>
            <w:tcW w:w="1260" w:type="dxa"/>
            <w:noWrap w:val="0"/>
            <w:vAlign w:val="center"/>
          </w:tcPr>
          <w:p>
            <w:pPr>
              <w:spacing w:line="360" w:lineRule="auto"/>
              <w:jc w:val="center"/>
              <w:rPr>
                <w:rFonts w:hint="eastAsia" w:ascii="宋体" w:hAnsi="宋体" w:cs="宋体"/>
                <w:color w:val="auto"/>
                <w:sz w:val="24"/>
                <w:highlight w:val="none"/>
              </w:rPr>
            </w:pPr>
          </w:p>
        </w:tc>
        <w:tc>
          <w:tcPr>
            <w:tcW w:w="2004" w:type="dxa"/>
            <w:noWrap w:val="0"/>
            <w:vAlign w:val="center"/>
          </w:tcPr>
          <w:p>
            <w:pPr>
              <w:spacing w:line="360" w:lineRule="auto"/>
              <w:jc w:val="center"/>
              <w:rPr>
                <w:rFonts w:hint="eastAsia"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548" w:type="dxa"/>
            <w:noWrap w:val="0"/>
            <w:vAlign w:val="center"/>
          </w:tcPr>
          <w:p>
            <w:pPr>
              <w:spacing w:line="360" w:lineRule="auto"/>
              <w:jc w:val="center"/>
              <w:rPr>
                <w:rFonts w:hint="eastAsia" w:ascii="宋体" w:hAnsi="宋体" w:cs="宋体"/>
                <w:color w:val="auto"/>
                <w:sz w:val="24"/>
                <w:highlight w:val="none"/>
              </w:rPr>
            </w:pPr>
          </w:p>
        </w:tc>
        <w:tc>
          <w:tcPr>
            <w:tcW w:w="1152" w:type="dxa"/>
            <w:noWrap w:val="0"/>
            <w:vAlign w:val="center"/>
          </w:tcPr>
          <w:p>
            <w:pPr>
              <w:spacing w:line="360" w:lineRule="auto"/>
              <w:jc w:val="center"/>
              <w:rPr>
                <w:rFonts w:hint="eastAsia" w:ascii="宋体" w:hAnsi="宋体" w:cs="宋体"/>
                <w:color w:val="auto"/>
                <w:sz w:val="24"/>
                <w:highlight w:val="none"/>
              </w:rPr>
            </w:pPr>
          </w:p>
        </w:tc>
        <w:tc>
          <w:tcPr>
            <w:tcW w:w="2520" w:type="dxa"/>
            <w:noWrap w:val="0"/>
            <w:vAlign w:val="center"/>
          </w:tcPr>
          <w:p>
            <w:pPr>
              <w:spacing w:line="360" w:lineRule="auto"/>
              <w:jc w:val="center"/>
              <w:rPr>
                <w:rFonts w:hint="eastAsia" w:ascii="宋体" w:hAnsi="宋体" w:cs="宋体"/>
                <w:color w:val="auto"/>
                <w:sz w:val="24"/>
                <w:highlight w:val="none"/>
              </w:rPr>
            </w:pPr>
          </w:p>
        </w:tc>
        <w:tc>
          <w:tcPr>
            <w:tcW w:w="900" w:type="dxa"/>
            <w:noWrap w:val="0"/>
            <w:vAlign w:val="center"/>
          </w:tcPr>
          <w:p>
            <w:pPr>
              <w:spacing w:line="360" w:lineRule="auto"/>
              <w:jc w:val="center"/>
              <w:rPr>
                <w:rFonts w:hint="eastAsia" w:ascii="宋体" w:hAnsi="宋体" w:cs="宋体"/>
                <w:color w:val="auto"/>
                <w:sz w:val="24"/>
                <w:highlight w:val="none"/>
              </w:rPr>
            </w:pPr>
          </w:p>
        </w:tc>
        <w:tc>
          <w:tcPr>
            <w:tcW w:w="1260" w:type="dxa"/>
            <w:noWrap w:val="0"/>
            <w:vAlign w:val="center"/>
          </w:tcPr>
          <w:p>
            <w:pPr>
              <w:spacing w:line="360" w:lineRule="auto"/>
              <w:jc w:val="center"/>
              <w:rPr>
                <w:rFonts w:hint="eastAsia" w:ascii="宋体" w:hAnsi="宋体" w:cs="宋体"/>
                <w:color w:val="auto"/>
                <w:sz w:val="24"/>
                <w:highlight w:val="none"/>
              </w:rPr>
            </w:pPr>
          </w:p>
        </w:tc>
        <w:tc>
          <w:tcPr>
            <w:tcW w:w="2004" w:type="dxa"/>
            <w:noWrap w:val="0"/>
            <w:vAlign w:val="center"/>
          </w:tcPr>
          <w:p>
            <w:pPr>
              <w:spacing w:line="360" w:lineRule="auto"/>
              <w:jc w:val="center"/>
              <w:rPr>
                <w:rFonts w:hint="eastAsia" w:ascii="宋体" w:hAnsi="宋体" w:cs="宋体"/>
                <w:color w:val="auto"/>
                <w:sz w:val="24"/>
                <w:highlight w:val="none"/>
              </w:rPr>
            </w:pPr>
          </w:p>
        </w:tc>
      </w:tr>
    </w:tbl>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二、合同价款</w:t>
      </w:r>
    </w:p>
    <w:p>
      <w:pPr>
        <w:spacing w:line="240" w:lineRule="auto"/>
        <w:ind w:firstLine="480"/>
        <w:rPr>
          <w:rFonts w:hint="eastAsia" w:ascii="宋体" w:hAnsi="宋体" w:cs="宋体"/>
          <w:b/>
          <w:bCs/>
          <w:color w:val="auto"/>
          <w:sz w:val="24"/>
          <w:highlight w:val="none"/>
        </w:rPr>
      </w:pPr>
      <w:r>
        <w:rPr>
          <w:rFonts w:hint="eastAsia" w:ascii="宋体" w:hAnsi="宋体" w:cs="宋体"/>
          <w:color w:val="auto"/>
          <w:sz w:val="24"/>
          <w:highlight w:val="none"/>
        </w:rPr>
        <w:t>2.1合同总价：人民币（大写）              元，（小写）            元。</w:t>
      </w:r>
      <w:r>
        <w:rPr>
          <w:rFonts w:hint="eastAsia" w:ascii="宋体" w:hAnsi="宋体" w:cs="宋体"/>
          <w:b/>
          <w:bCs/>
          <w:color w:val="auto"/>
          <w:sz w:val="24"/>
          <w:highlight w:val="none"/>
        </w:rPr>
        <w:t>该总价包含货物的成本、运输费、包装费、装卸费、劳务费、保险、利润、税金及涉及到该货物到指定地点的一切费用。</w:t>
      </w:r>
      <w:r>
        <w:rPr>
          <w:rFonts w:hint="eastAsia" w:ascii="宋体" w:hAnsi="宋体" w:cs="宋体"/>
          <w:b/>
          <w:bCs/>
          <w:color w:val="auto"/>
          <w:sz w:val="24"/>
          <w:highlight w:val="none"/>
          <w:lang w:val="en-US" w:eastAsia="zh-CN"/>
        </w:rPr>
        <w:t>需方除本费用及合同另有约定外，不承担任何费用。</w:t>
      </w:r>
    </w:p>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三、交货地点及交货时间</w:t>
      </w:r>
    </w:p>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3.1交货地点：吉林省消防救援总队</w:t>
      </w:r>
      <w:r>
        <w:rPr>
          <w:rFonts w:hint="eastAsia" w:ascii="宋体" w:hAnsi="宋体" w:cs="宋体"/>
          <w:b/>
          <w:color w:val="auto"/>
          <w:sz w:val="24"/>
          <w:highlight w:val="none"/>
          <w:lang w:val="zh-CN"/>
        </w:rPr>
        <w:t>指定地点</w:t>
      </w:r>
      <w:r>
        <w:rPr>
          <w:rFonts w:hint="eastAsia" w:ascii="宋体" w:hAnsi="宋体" w:cs="宋体"/>
          <w:b/>
          <w:color w:val="auto"/>
          <w:sz w:val="24"/>
          <w:highlight w:val="none"/>
        </w:rPr>
        <w:t>，中标人负责将货物安全完好运抵交货地点（货物在途</w:t>
      </w:r>
      <w:r>
        <w:rPr>
          <w:rFonts w:hint="eastAsia" w:ascii="宋体" w:hAnsi="宋体" w:cs="宋体"/>
          <w:b/>
          <w:color w:val="auto"/>
          <w:sz w:val="24"/>
          <w:highlight w:val="none"/>
          <w:lang w:val="en-US" w:eastAsia="zh-CN"/>
        </w:rPr>
        <w:t>中</w:t>
      </w:r>
      <w:r>
        <w:rPr>
          <w:rFonts w:hint="eastAsia" w:ascii="宋体" w:hAnsi="宋体" w:cs="宋体"/>
          <w:b/>
          <w:color w:val="auto"/>
          <w:sz w:val="24"/>
          <w:highlight w:val="none"/>
        </w:rPr>
        <w:t>的一切风险及运输、卸货等费用由乙方承担）并保证验收合格。</w:t>
      </w:r>
    </w:p>
    <w:p>
      <w:pPr>
        <w:widowControl/>
        <w:spacing w:line="360" w:lineRule="auto"/>
        <w:ind w:firstLine="481"/>
        <w:jc w:val="left"/>
        <w:textAlignment w:val="top"/>
        <w:rPr>
          <w:rFonts w:hint="eastAsia" w:ascii="宋体" w:hAnsi="宋体" w:cs="宋体"/>
          <w:b/>
          <w:bCs/>
          <w:color w:val="auto"/>
          <w:sz w:val="24"/>
          <w:highlight w:val="none"/>
        </w:rPr>
      </w:pPr>
      <w:r>
        <w:rPr>
          <w:rFonts w:hint="eastAsia" w:ascii="宋体" w:hAnsi="宋体" w:cs="宋体"/>
          <w:b/>
          <w:bCs/>
          <w:color w:val="auto"/>
          <w:sz w:val="24"/>
          <w:highlight w:val="none"/>
        </w:rPr>
        <w:t>3.2交货时间：合同签订后四个月内履行完毕；</w:t>
      </w:r>
    </w:p>
    <w:p>
      <w:pPr>
        <w:numPr>
          <w:ilvl w:val="0"/>
          <w:numId w:val="7"/>
        </w:numPr>
        <w:spacing w:line="360" w:lineRule="auto"/>
        <w:ind w:left="479" w:leftChars="228"/>
        <w:rPr>
          <w:rFonts w:hint="eastAsia" w:ascii="宋体" w:hAnsi="宋体" w:cs="宋体"/>
          <w:b/>
          <w:color w:val="auto"/>
          <w:sz w:val="24"/>
          <w:highlight w:val="none"/>
        </w:rPr>
      </w:pPr>
      <w:r>
        <w:rPr>
          <w:rFonts w:hint="eastAsia" w:ascii="宋体" w:hAnsi="宋体" w:cs="宋体"/>
          <w:b/>
          <w:color w:val="auto"/>
          <w:sz w:val="24"/>
          <w:highlight w:val="none"/>
        </w:rPr>
        <w:t xml:space="preserve">付款 </w:t>
      </w:r>
    </w:p>
    <w:p>
      <w:pPr>
        <w:spacing w:line="360" w:lineRule="auto"/>
        <w:rPr>
          <w:rFonts w:hint="eastAsia" w:ascii="宋体" w:hAnsi="宋体" w:cs="宋体"/>
          <w:bCs/>
          <w:color w:val="auto"/>
          <w:sz w:val="24"/>
          <w:highlight w:val="none"/>
          <w:lang w:val="zh-CN"/>
        </w:rPr>
      </w:pPr>
      <w:r>
        <w:rPr>
          <w:rFonts w:hint="eastAsia" w:ascii="宋体" w:hAnsi="宋体" w:cs="宋体"/>
          <w:b/>
          <w:color w:val="auto"/>
          <w:sz w:val="24"/>
          <w:highlight w:val="none"/>
        </w:rPr>
        <w:t xml:space="preserve">    </w:t>
      </w:r>
      <w:r>
        <w:rPr>
          <w:rFonts w:hint="eastAsia" w:ascii="宋体" w:hAnsi="宋体" w:cs="宋体"/>
          <w:bCs/>
          <w:color w:val="auto"/>
          <w:sz w:val="24"/>
          <w:highlight w:val="none"/>
        </w:rPr>
        <w:t>4.</w:t>
      </w:r>
      <w:r>
        <w:rPr>
          <w:rFonts w:hint="eastAsia" w:ascii="宋体" w:hAnsi="宋体" w:cs="宋体"/>
          <w:bCs/>
          <w:color w:val="auto"/>
          <w:sz w:val="24"/>
          <w:highlight w:val="none"/>
          <w:lang w:val="zh-CN"/>
        </w:rPr>
        <w:t>1供方交货时应提交下列文件：销售发票，国家有关质检机构出具的检验报告或证书（如果合同约定要求提供），制造厂商出具的质量检验证书、产品合格证等，若因乙方相关手续资料不合格或缺失，甲方有权延期支付货款；影响甲方正常使用的，甲方有权单方面解除合同或退换货，乙方应承担由此造成的全部损失，同时甲方扣留总货款的5%的履约保证金；若因乙方提供相关手续资料不及时，影响甲方使用的，按照本合同第十二款误期赔偿执行。</w:t>
      </w:r>
    </w:p>
    <w:p>
      <w:pPr>
        <w:spacing w:line="360" w:lineRule="exact"/>
        <w:rPr>
          <w:rFonts w:hint="eastAsia" w:ascii="宋体" w:hAnsi="宋体" w:cs="宋体"/>
          <w:color w:val="auto"/>
          <w:sz w:val="24"/>
          <w:highlight w:val="none"/>
        </w:rPr>
      </w:pPr>
      <w:r>
        <w:rPr>
          <w:rFonts w:hint="eastAsia" w:ascii="宋体" w:hAnsi="宋体" w:cs="宋体"/>
          <w:bCs/>
          <w:color w:val="auto"/>
          <w:sz w:val="24"/>
          <w:highlight w:val="none"/>
        </w:rPr>
        <w:t xml:space="preserve">    </w:t>
      </w:r>
      <w:r>
        <w:rPr>
          <w:rFonts w:hint="eastAsia" w:ascii="宋体" w:hAnsi="宋体" w:cs="宋体"/>
          <w:b/>
          <w:color w:val="auto"/>
          <w:sz w:val="24"/>
          <w:highlight w:val="none"/>
        </w:rPr>
        <w:t>4.</w:t>
      </w:r>
      <w:r>
        <w:rPr>
          <w:rFonts w:hint="eastAsia" w:ascii="宋体" w:hAnsi="宋体" w:cs="宋体"/>
          <w:b/>
          <w:color w:val="auto"/>
          <w:sz w:val="24"/>
          <w:highlight w:val="none"/>
          <w:lang w:val="zh-CN"/>
        </w:rPr>
        <w:t>2付款方式：</w:t>
      </w:r>
      <w:r>
        <w:rPr>
          <w:rFonts w:hint="eastAsia" w:ascii="宋体" w:hAnsi="宋体" w:cs="宋体"/>
          <w:color w:val="auto"/>
          <w:sz w:val="24"/>
          <w:highlight w:val="none"/>
        </w:rPr>
        <w:t>合同签订前乙方向甲方支付合同总价款5％的履约保证金。甲方收到履约保证金并签订合同后30个工作日内，向乙方支付30%货款；到货并验收合格，且收到乙方开具的合同等额的符合甲方要求的税务发票后在30个工作日内，向乙方支付70%货款；货物质保期满后，若无质量问题或质量问题已解决达到甲方要求，向乙方无息返还5％的履约保证金；若出现质量问题，乙方应免费及时维修更换，如因乙方原因导致甲方利益受损，乙方应承担损害赔偿责任，同时甲方有权扣留5%的履约保证金作为违约金，违约金不足以弥补甲方损失的，甲方有权向乙方追偿。甲方付款前，乙方应为甲方开具符合甲方要求的发票，否则甲方有权拒绝付款且不视为违约。</w:t>
      </w:r>
    </w:p>
    <w:p>
      <w:pPr>
        <w:spacing w:line="360" w:lineRule="auto"/>
        <w:rPr>
          <w:rFonts w:ascii="宋体" w:hAnsi="宋体" w:cs="宋体"/>
          <w:b/>
          <w:color w:val="auto"/>
          <w:sz w:val="24"/>
          <w:highlight w:val="none"/>
        </w:rPr>
      </w:pPr>
      <w:r>
        <w:rPr>
          <w:rFonts w:hint="eastAsia" w:ascii="宋体" w:hAnsi="宋体" w:cs="宋体"/>
          <w:color w:val="auto"/>
          <w:sz w:val="24"/>
          <w:highlight w:val="none"/>
        </w:rPr>
        <w:t>具体详细内容按合同约定执行。</w:t>
      </w:r>
      <w:r>
        <w:rPr>
          <w:rFonts w:hint="eastAsia" w:ascii="宋体" w:hAnsi="宋体" w:cs="宋体"/>
          <w:b/>
          <w:color w:val="auto"/>
          <w:sz w:val="24"/>
          <w:highlight w:val="none"/>
        </w:rPr>
        <w:t xml:space="preserve">   </w:t>
      </w:r>
    </w:p>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五、验收（严格执行国家相关标准）</w:t>
      </w:r>
    </w:p>
    <w:p>
      <w:pPr>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5．1</w:t>
      </w:r>
      <w:r>
        <w:rPr>
          <w:rFonts w:hint="eastAsia" w:ascii="宋体" w:hAnsi="宋体" w:cs="宋体"/>
          <w:color w:val="auto"/>
          <w:sz w:val="24"/>
          <w:highlight w:val="none"/>
          <w:lang w:val="zh-CN"/>
        </w:rPr>
        <w:t>乙方提交的货物到货后30个工作日内甲方负责检验验收或由甲方聘请当地质检（商检）部门或国家有关部门对货物的品种、规格、性能、质量、数量、外观以及配件等进行检验，并出具检验证书，检验费用由乙方承担。</w:t>
      </w:r>
    </w:p>
    <w:p>
      <w:pPr>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5</w:t>
      </w:r>
      <w:r>
        <w:rPr>
          <w:rFonts w:hint="eastAsia" w:ascii="宋体" w:hAnsi="宋体" w:cs="宋体"/>
          <w:color w:val="auto"/>
          <w:sz w:val="24"/>
          <w:highlight w:val="none"/>
          <w:lang w:val="zh-CN"/>
        </w:rPr>
        <w:t>.2验收过程中，如果甲乙双方对合同标的质量发生争议，应当聘请国家消防装备质量监督检验中心或国家有关部门对有争议的货物质量进行鉴定，检验费用由责任方承担。按照规定必须由国家有关部门或者机构检验合格才允许使用的货物，由乙方负责（甲方配合）向有关部门或者机构申请检验并取得检验合格的报告（证书）或者使用许可证，费用包含在乙方的合同总价中。</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5.3验收前，乙方向甲方提供本合同所列明货物金额的发票等文件，验收合格的，乙方与甲方共同在</w:t>
      </w:r>
      <w:r>
        <w:rPr>
          <w:rFonts w:hint="default" w:ascii="宋体" w:hAnsi="宋体" w:cs="宋体"/>
          <w:color w:val="auto"/>
          <w:sz w:val="24"/>
          <w:highlight w:val="none"/>
        </w:rPr>
        <w:t>验收单</w:t>
      </w:r>
      <w:r>
        <w:rPr>
          <w:rFonts w:hint="eastAsia" w:ascii="宋体" w:hAnsi="宋体" w:cs="宋体"/>
          <w:color w:val="auto"/>
          <w:sz w:val="24"/>
          <w:highlight w:val="none"/>
        </w:rPr>
        <w:t>上签字并加盖单位公章，作为验收合格、同意付款的依据。验收不合格的，整改时间为30天，整改后，仍未达到合同约定技术要求的，甲方有权</w:t>
      </w:r>
      <w:r>
        <w:rPr>
          <w:rFonts w:hint="eastAsia" w:ascii="宋体" w:hAnsi="宋体" w:cs="宋体"/>
          <w:color w:val="auto"/>
          <w:sz w:val="24"/>
          <w:highlight w:val="none"/>
          <w:lang w:val="en-US" w:eastAsia="zh-Hans"/>
        </w:rPr>
        <w:t>单方</w:t>
      </w:r>
      <w:r>
        <w:rPr>
          <w:rFonts w:hint="eastAsia" w:ascii="宋体" w:hAnsi="宋体" w:cs="宋体"/>
          <w:color w:val="auto"/>
          <w:sz w:val="24"/>
          <w:highlight w:val="none"/>
        </w:rPr>
        <w:t>解除</w:t>
      </w:r>
      <w:r>
        <w:rPr>
          <w:rFonts w:hint="eastAsia" w:ascii="宋体" w:hAnsi="宋体" w:cs="宋体"/>
          <w:color w:val="auto"/>
          <w:sz w:val="24"/>
          <w:highlight w:val="none"/>
          <w:lang w:val="zh-CN"/>
        </w:rPr>
        <w:t>合同，所产生的费用由乙方承担，同时</w:t>
      </w:r>
      <w:r>
        <w:rPr>
          <w:rFonts w:hint="eastAsia" w:ascii="宋体" w:hAnsi="宋体" w:cs="宋体"/>
          <w:color w:val="auto"/>
          <w:sz w:val="24"/>
          <w:highlight w:val="none"/>
        </w:rPr>
        <w:t>甲方有权扣留全部履约保证金，乙方还需额外支付合同总价款的5%作为违约金。</w:t>
      </w:r>
    </w:p>
    <w:p>
      <w:pPr>
        <w:spacing w:line="360" w:lineRule="auto"/>
        <w:ind w:firstLine="480" w:firstLineChars="200"/>
        <w:rPr>
          <w:rFonts w:hint="eastAsia" w:ascii="宋体" w:hAnsi="宋体" w:cs="宋体"/>
          <w:color w:val="auto"/>
          <w:sz w:val="24"/>
          <w:highlight w:val="none"/>
          <w:lang w:val="zh-CN" w:eastAsia="zh-CN"/>
        </w:rPr>
      </w:pPr>
      <w:r>
        <w:rPr>
          <w:rFonts w:hint="eastAsia" w:ascii="宋体" w:hAnsi="宋体" w:cs="宋体"/>
          <w:color w:val="auto"/>
          <w:sz w:val="24"/>
          <w:highlight w:val="none"/>
          <w:lang w:val="zh-CN" w:eastAsia="zh-CN"/>
        </w:rPr>
        <w:t>5.4</w:t>
      </w:r>
      <w:r>
        <w:rPr>
          <w:rFonts w:hint="eastAsia" w:ascii="宋体" w:hAnsi="宋体" w:cs="宋体"/>
          <w:color w:val="auto"/>
          <w:sz w:val="24"/>
          <w:highlight w:val="none"/>
          <w:lang w:val="zh-CN"/>
        </w:rPr>
        <w:t>甲方将根据国家现行质量标准及行业标准规定接受货物，严格按照招标文件及投标文件对乙方所供产品进行逐项检查和验收</w:t>
      </w:r>
      <w:r>
        <w:rPr>
          <w:rFonts w:hint="eastAsia" w:ascii="宋体" w:hAnsi="宋体" w:cs="宋体"/>
          <w:color w:val="auto"/>
          <w:sz w:val="24"/>
          <w:highlight w:val="none"/>
          <w:lang w:val="zh-CN" w:eastAsia="zh-CN"/>
        </w:rPr>
        <w:t>，验收以招标文件和中标人的投标文件技术参数资料为标准，如果上述文件有不一致之处，以对甲方有利的为准，同时乙方需提供国家有关质检机构出具的检验报告或证书、制造厂商出具的质量检验证书、产品合格证、消防产品认证证书等手续，否则，甲方有权不予验收。</w:t>
      </w:r>
    </w:p>
    <w:p>
      <w:pPr>
        <w:spacing w:line="360" w:lineRule="auto"/>
        <w:ind w:firstLine="480" w:firstLineChars="200"/>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5.</w:t>
      </w:r>
      <w:r>
        <w:rPr>
          <w:rFonts w:hint="default" w:ascii="宋体" w:hAnsi="宋体" w:cs="宋体"/>
          <w:color w:val="auto"/>
          <w:sz w:val="24"/>
          <w:highlight w:val="none"/>
          <w:lang w:val="zh-CN" w:eastAsia="zh-CN"/>
        </w:rPr>
        <w:t>5</w:t>
      </w:r>
      <w:r>
        <w:rPr>
          <w:rFonts w:hint="eastAsia" w:ascii="宋体" w:hAnsi="宋体" w:cs="宋体"/>
          <w:color w:val="auto"/>
          <w:sz w:val="24"/>
          <w:highlight w:val="none"/>
          <w:lang w:val="zh-CN" w:eastAsia="zh-CN"/>
        </w:rPr>
        <w:t>验收发现恶意提供劣质标的，如以次充好、低于招标技术参数、同批货物中明显有不合格产品等情况，需方无论使用与否，供方应无条件接受退货，并承担所有与认证鉴定有关的全部费用及采购人蒙受的全部直接损失。</w:t>
      </w:r>
    </w:p>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六、知识产权及有关规定</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6.1 供方应保证需方在使用本合同项下的货物或其任何一部分时免受第三方提出侵犯其知识产权、商标权或工业设计权的起诉。如果发生此类问题，供方应负责交涉</w:t>
      </w:r>
      <w:r>
        <w:rPr>
          <w:rFonts w:hint="eastAsia" w:ascii="宋体" w:hAnsi="宋体" w:cs="宋体"/>
          <w:color w:val="auto"/>
          <w:sz w:val="24"/>
          <w:highlight w:val="none"/>
          <w:lang w:val="en-US" w:eastAsia="zh-CN"/>
        </w:rPr>
        <w:t>解决，</w:t>
      </w:r>
      <w:r>
        <w:rPr>
          <w:rFonts w:hint="eastAsia" w:ascii="宋体" w:hAnsi="宋体" w:cs="宋体"/>
          <w:color w:val="auto"/>
          <w:sz w:val="24"/>
          <w:highlight w:val="none"/>
          <w:lang w:val="en-US" w:eastAsia="zh-Hans"/>
        </w:rPr>
        <w:t>因此造成</w:t>
      </w:r>
      <w:r>
        <w:rPr>
          <w:rFonts w:hint="eastAsia" w:ascii="宋体" w:hAnsi="宋体" w:cs="宋体"/>
          <w:color w:val="auto"/>
          <w:sz w:val="24"/>
          <w:highlight w:val="none"/>
          <w:lang w:val="en-US" w:eastAsia="zh-CN"/>
        </w:rPr>
        <w:t>需</w:t>
      </w:r>
      <w:r>
        <w:rPr>
          <w:rFonts w:hint="eastAsia" w:ascii="宋体" w:hAnsi="宋体" w:cs="宋体"/>
          <w:color w:val="auto"/>
          <w:sz w:val="24"/>
          <w:highlight w:val="none"/>
          <w:lang w:val="en-US" w:eastAsia="zh-Hans"/>
        </w:rPr>
        <w:t>方损失的</w:t>
      </w:r>
      <w:r>
        <w:rPr>
          <w:rFonts w:hint="default" w:ascii="宋体" w:hAnsi="宋体" w:cs="宋体"/>
          <w:color w:val="auto"/>
          <w:sz w:val="24"/>
          <w:highlight w:val="none"/>
          <w:lang w:eastAsia="zh-Hans"/>
        </w:rPr>
        <w:t>，</w:t>
      </w:r>
      <w:r>
        <w:rPr>
          <w:rFonts w:hint="eastAsia" w:ascii="宋体" w:hAnsi="宋体" w:cs="宋体"/>
          <w:color w:val="auto"/>
          <w:sz w:val="24"/>
          <w:highlight w:val="none"/>
          <w:lang w:val="en-US" w:eastAsia="zh-CN"/>
        </w:rPr>
        <w:t>供</w:t>
      </w:r>
      <w:r>
        <w:rPr>
          <w:rFonts w:hint="eastAsia" w:ascii="宋体" w:hAnsi="宋体" w:cs="宋体"/>
          <w:color w:val="auto"/>
          <w:sz w:val="24"/>
          <w:highlight w:val="none"/>
          <w:lang w:val="en-US" w:eastAsia="zh-Hans"/>
        </w:rPr>
        <w:t>方还应向</w:t>
      </w:r>
      <w:r>
        <w:rPr>
          <w:rFonts w:hint="eastAsia" w:ascii="宋体" w:hAnsi="宋体" w:cs="宋体"/>
          <w:color w:val="auto"/>
          <w:sz w:val="24"/>
          <w:highlight w:val="none"/>
          <w:lang w:val="en-US" w:eastAsia="zh-CN"/>
        </w:rPr>
        <w:t>需</w:t>
      </w:r>
      <w:r>
        <w:rPr>
          <w:rFonts w:hint="eastAsia" w:ascii="宋体" w:hAnsi="宋体" w:cs="宋体"/>
          <w:color w:val="auto"/>
          <w:sz w:val="24"/>
          <w:highlight w:val="none"/>
          <w:lang w:val="en-US" w:eastAsia="zh-Hans"/>
        </w:rPr>
        <w:t>方</w:t>
      </w:r>
      <w:r>
        <w:rPr>
          <w:rFonts w:hint="eastAsia" w:ascii="宋体" w:hAnsi="宋体" w:cs="宋体"/>
          <w:color w:val="auto"/>
          <w:sz w:val="24"/>
          <w:highlight w:val="none"/>
        </w:rPr>
        <w:t>承担</w:t>
      </w:r>
      <w:r>
        <w:rPr>
          <w:rFonts w:hint="eastAsia" w:ascii="宋体" w:hAnsi="宋体" w:cs="宋体"/>
          <w:color w:val="auto"/>
          <w:sz w:val="24"/>
          <w:highlight w:val="none"/>
          <w:lang w:val="en-US" w:eastAsia="zh-Hans"/>
        </w:rPr>
        <w:t>损害赔偿</w:t>
      </w:r>
      <w:r>
        <w:rPr>
          <w:rFonts w:hint="eastAsia" w:ascii="宋体" w:hAnsi="宋体" w:cs="宋体"/>
          <w:color w:val="auto"/>
          <w:sz w:val="24"/>
          <w:highlight w:val="none"/>
        </w:rPr>
        <w:t>责任。</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6.2 供方应保证所供货物符合国家的有关规定。</w:t>
      </w:r>
    </w:p>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七、伴随服务</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7.1供方应提供所交付货物的全套技术文件资料，包括产品目录、图纸、操作手册、使用说明、维护手册和服务指南等。</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7.2供方还应提供下列服务：货物的运输、集成和试运行；提供货物组装和维修所需的工具；在质量保证期内对所交付货物提供运行监督、维修、保养等；在制造厂家和/或在项目现场就货物的安装调试、运行、维护等对需方人员进行培训。乙方提供的其他伴随服务，均按乙方投标文件标准执行。</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7.3上述伴随服务的费用应包含在合同价中，不单独进行支付。</w:t>
      </w:r>
    </w:p>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八、质量保证期及售后服务</w:t>
      </w:r>
    </w:p>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8.1质量保证期：自货物最终验收合格之日起质保</w:t>
      </w:r>
      <w:r>
        <w:rPr>
          <w:rFonts w:hint="eastAsia" w:ascii="宋体" w:hAnsi="宋体" w:cs="宋体"/>
          <w:b/>
          <w:color w:val="auto"/>
          <w:sz w:val="24"/>
          <w:highlight w:val="none"/>
          <w:lang w:val="en-US" w:eastAsia="zh-CN"/>
        </w:rPr>
        <w:t>X</w:t>
      </w:r>
      <w:r>
        <w:rPr>
          <w:rFonts w:hint="eastAsia" w:ascii="宋体" w:hAnsi="宋体" w:cs="宋体"/>
          <w:b/>
          <w:color w:val="auto"/>
          <w:sz w:val="24"/>
          <w:highlight w:val="none"/>
        </w:rPr>
        <w:t>年，质保期自验收合格之日起计算，保修期</w:t>
      </w:r>
      <w:r>
        <w:rPr>
          <w:rFonts w:hint="eastAsia" w:ascii="宋体" w:hAnsi="宋体" w:cs="宋体"/>
          <w:b/>
          <w:color w:val="auto"/>
          <w:sz w:val="24"/>
          <w:highlight w:val="none"/>
          <w:lang w:val="en-US" w:eastAsia="zh-CN"/>
        </w:rPr>
        <w:t>X</w:t>
      </w:r>
      <w:r>
        <w:rPr>
          <w:rFonts w:hint="eastAsia" w:ascii="宋体" w:hAnsi="宋体" w:cs="宋体"/>
          <w:b/>
          <w:color w:val="auto"/>
          <w:sz w:val="24"/>
          <w:highlight w:val="none"/>
        </w:rPr>
        <w:t>年，保修期自质保期届满之日起计算。(质保期内的人工、备品、备件及耗材免费供应。保修期内的质量问题必须及时免费提供维修服务，人工、备品、备件及耗材承诺保证供应且价格优惠)</w:t>
      </w:r>
    </w:p>
    <w:p>
      <w:pPr>
        <w:spacing w:line="360" w:lineRule="auto"/>
        <w:ind w:firstLine="480" w:firstLineChars="200"/>
        <w:rPr>
          <w:rFonts w:hint="eastAsia" w:ascii="宋体" w:hAnsi="宋体" w:cs="宋体"/>
          <w:color w:val="auto"/>
          <w:sz w:val="24"/>
          <w:highlight w:val="none"/>
          <w:lang w:val="en-US" w:eastAsia="zh-Hans"/>
        </w:rPr>
      </w:pPr>
      <w:r>
        <w:rPr>
          <w:rFonts w:hint="eastAsia" w:ascii="宋体" w:hAnsi="宋体" w:cs="宋体"/>
          <w:color w:val="auto"/>
          <w:sz w:val="24"/>
          <w:highlight w:val="none"/>
        </w:rPr>
        <w:t>8.2</w:t>
      </w:r>
      <w:r>
        <w:rPr>
          <w:rFonts w:hint="eastAsia" w:ascii="宋体" w:hAnsi="宋体" w:cs="宋体"/>
          <w:color w:val="auto"/>
          <w:sz w:val="24"/>
          <w:highlight w:val="none"/>
          <w:lang w:val="en-US" w:eastAsia="zh-Hans"/>
        </w:rPr>
        <w:t>质量保证期及售后服务约定详见乙方在投标文件中提交的售后服务承诺书和制造厂商的有关文件，如果上述文件有不一致之处，以对甲方有利的为准。</w:t>
      </w:r>
    </w:p>
    <w:p>
      <w:pPr>
        <w:spacing w:line="360" w:lineRule="auto"/>
        <w:ind w:firstLine="480" w:firstLineChars="200"/>
        <w:rPr>
          <w:rFonts w:hint="eastAsia" w:ascii="宋体" w:hAnsi="宋体" w:cs="宋体"/>
          <w:color w:val="auto"/>
          <w:sz w:val="24"/>
          <w:highlight w:val="none"/>
        </w:rPr>
      </w:pPr>
      <w:r>
        <w:rPr>
          <w:rFonts w:hint="default" w:ascii="宋体" w:hAnsi="宋体" w:cs="宋体"/>
          <w:color w:val="auto"/>
          <w:sz w:val="24"/>
          <w:highlight w:val="none"/>
          <w:lang w:eastAsia="zh-Hans"/>
        </w:rPr>
        <w:t>8.3</w:t>
      </w:r>
      <w:r>
        <w:rPr>
          <w:rFonts w:hint="eastAsia" w:ascii="宋体" w:hAnsi="宋体" w:cs="宋体"/>
          <w:color w:val="auto"/>
          <w:sz w:val="24"/>
          <w:highlight w:val="none"/>
          <w:lang w:val="en-US" w:eastAsia="zh-Hans"/>
        </w:rPr>
        <w:t>乙方所有优惠条件以及售后服务，均按乙方投标文件标准执行。</w:t>
      </w:r>
      <w:r>
        <w:rPr>
          <w:rFonts w:hint="eastAsia" w:ascii="宋体" w:hAnsi="宋体" w:cs="宋体"/>
          <w:color w:val="auto"/>
          <w:sz w:val="24"/>
          <w:highlight w:val="none"/>
        </w:rPr>
        <w:t xml:space="preserve"> </w:t>
      </w:r>
    </w:p>
    <w:p>
      <w:pPr>
        <w:spacing w:line="360" w:lineRule="auto"/>
        <w:rPr>
          <w:rFonts w:hint="eastAsia" w:ascii="宋体" w:hAnsi="宋体" w:cs="宋体"/>
          <w:b/>
          <w:color w:val="auto"/>
          <w:sz w:val="24"/>
          <w:highlight w:val="none"/>
        </w:rPr>
      </w:pPr>
      <w:r>
        <w:rPr>
          <w:rFonts w:hint="eastAsia" w:ascii="宋体" w:hAnsi="宋体" w:cs="宋体"/>
          <w:b/>
          <w:color w:val="auto"/>
          <w:sz w:val="24"/>
          <w:highlight w:val="none"/>
        </w:rPr>
        <w:t xml:space="preserve">    九、质量保证</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9.1 供方应保证所提供的货物是原制造厂商制造的、经过合法销售渠道取得的、全新的、未使用过的，并完全符合合同规定的品牌、规格型号、技术性能、配置、质量、数量等要求。供方应保证其所提供的货物在正常使用和保养条件下，在其使用寿命期内具有满意的性能。在货物最终验收合格交付后不少于本合同第八条约定的质量保证期内，供方应对其交付的货物由于设计、工艺或材料的缺陷而产生的故障负责。</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9.2 在质量保证期内，如果货物的规格型号、技术性能、原产地及制造厂商以及其他质量技术指标与合同约定不符，或证实货物是有缺陷的，包括潜在的缺陷或使用不符合要求的材料等，需方应以书面形式向供方提出本保证下的索赔。</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9.3在质量保证期内，供方在接到需方的通知后，应在本合同第八条约定的响应时间内,免费维修和/或更换有缺陷的货物或部件。</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9.4 如果供方在接到需方通知后，在本合同第八条约定的响应时间内没有弥补缺陷，需方可采取必要的补救措施，但其风险和费用将由供方负担，并且需方根据合同规定对供方行使的其他权利不受影响。</w:t>
      </w:r>
    </w:p>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十、索赔</w:t>
      </w:r>
    </w:p>
    <w:p>
      <w:pPr>
        <w:spacing w:line="360" w:lineRule="auto"/>
        <w:ind w:firstLine="570"/>
        <w:rPr>
          <w:rFonts w:hint="eastAsia" w:ascii="宋体" w:hAnsi="宋体" w:cs="宋体"/>
          <w:color w:val="auto"/>
          <w:sz w:val="24"/>
          <w:highlight w:val="none"/>
        </w:rPr>
      </w:pPr>
      <w:r>
        <w:rPr>
          <w:rFonts w:hint="eastAsia" w:ascii="宋体" w:hAnsi="宋体" w:cs="宋体"/>
          <w:color w:val="auto"/>
          <w:sz w:val="24"/>
          <w:highlight w:val="none"/>
        </w:rPr>
        <w:t>10.1需方有权根据当地技术监督局、进出口商品检验局或其他具有法定资格的质检机构出具的检验证书向供方提出索赔。</w:t>
      </w:r>
    </w:p>
    <w:p>
      <w:pPr>
        <w:spacing w:line="360" w:lineRule="auto"/>
        <w:ind w:firstLine="570"/>
        <w:rPr>
          <w:rFonts w:hint="eastAsia" w:ascii="宋体" w:hAnsi="宋体" w:cs="宋体"/>
          <w:color w:val="auto"/>
          <w:sz w:val="24"/>
          <w:highlight w:val="none"/>
        </w:rPr>
      </w:pPr>
      <w:r>
        <w:rPr>
          <w:rFonts w:hint="eastAsia" w:ascii="宋体" w:hAnsi="宋体" w:cs="宋体"/>
          <w:color w:val="auto"/>
          <w:sz w:val="24"/>
          <w:highlight w:val="none"/>
        </w:rPr>
        <w:t>10.2如果供方对缺陷负有责任</w:t>
      </w:r>
      <w:r>
        <w:rPr>
          <w:rFonts w:hint="eastAsia" w:ascii="宋体" w:hAnsi="宋体" w:cs="宋体"/>
          <w:color w:val="auto"/>
          <w:sz w:val="24"/>
          <w:highlight w:val="none"/>
          <w:lang w:val="en-US" w:eastAsia="zh-CN"/>
        </w:rPr>
        <w:t>且</w:t>
      </w:r>
      <w:r>
        <w:rPr>
          <w:rFonts w:hint="eastAsia" w:ascii="宋体" w:hAnsi="宋体" w:cs="宋体"/>
          <w:color w:val="auto"/>
          <w:sz w:val="24"/>
          <w:highlight w:val="none"/>
        </w:rPr>
        <w:t>需方提出索赔，供方应按照需方同意的下列一种或多种方式解决索赔事宜：</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（1）供方退货并将货款退还给需方，并承担由此发生的一切损失和费用，包括利息、银行手续费、运费、保险费、检验费、仓储费、装卸费以及为保护退回货物所需的其他必要费用。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（2）根据货物低劣、损坏程度以及需方所遭受损失的金额，经过供需双方商定降低货物的价格。</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用符合合同规定的规格、质量和性能要求的新零件、部件和／或设备来更换有缺陷的部分和／或修补缺陷部分，供方应承担一切费用和风险，并负担需方蒙受的全部直接损失。供方应同时按合同第八条的规定，相应延长修补和／或更换件的质量保证期。</w:t>
      </w:r>
    </w:p>
    <w:p>
      <w:pPr>
        <w:spacing w:line="360" w:lineRule="auto"/>
        <w:ind w:firstLine="570"/>
        <w:rPr>
          <w:rFonts w:hint="eastAsia" w:ascii="宋体" w:hAnsi="宋体" w:cs="宋体"/>
          <w:color w:val="auto"/>
          <w:sz w:val="24"/>
          <w:highlight w:val="none"/>
        </w:rPr>
      </w:pPr>
      <w:r>
        <w:rPr>
          <w:rFonts w:hint="eastAsia" w:ascii="宋体" w:hAnsi="宋体" w:cs="宋体"/>
          <w:color w:val="auto"/>
          <w:sz w:val="24"/>
          <w:highlight w:val="none"/>
        </w:rPr>
        <w:t>10.3如果在需方发出索赔通知后十天内，供方未作答复，上述索赔应视为已被供方接受。如供方未能在接到需方索赔通知后十天内或需方同意的延长期限内，按照本合同10.2条规定的任何一种或多种方式解决索赔事宜并征得需方同意，需方有权通过采购方从应付货款或从供方提交的履约保证金中扣回索赔金额，并拥有对赔偿不足部分进一步索赔的权利。</w:t>
      </w:r>
    </w:p>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十一、供方履约延误</w:t>
      </w:r>
    </w:p>
    <w:p>
      <w:pPr>
        <w:spacing w:line="360" w:lineRule="auto"/>
        <w:ind w:firstLine="570"/>
        <w:rPr>
          <w:rFonts w:hint="eastAsia" w:ascii="宋体" w:hAnsi="宋体" w:cs="宋体"/>
          <w:color w:val="auto"/>
          <w:sz w:val="24"/>
          <w:highlight w:val="none"/>
        </w:rPr>
      </w:pPr>
      <w:r>
        <w:rPr>
          <w:rFonts w:hint="eastAsia" w:ascii="宋体" w:hAnsi="宋体" w:cs="宋体"/>
          <w:color w:val="auto"/>
          <w:sz w:val="24"/>
          <w:highlight w:val="none"/>
        </w:rPr>
        <w:t>11.1 供方应按照合同规定的时间、地点交货和提供服务。</w:t>
      </w:r>
    </w:p>
    <w:p>
      <w:pPr>
        <w:spacing w:line="360" w:lineRule="auto"/>
        <w:ind w:firstLine="570"/>
        <w:rPr>
          <w:rFonts w:hint="eastAsia" w:ascii="宋体" w:hAnsi="宋体" w:cs="宋体"/>
          <w:color w:val="auto"/>
          <w:sz w:val="24"/>
          <w:highlight w:val="none"/>
        </w:rPr>
      </w:pPr>
      <w:r>
        <w:rPr>
          <w:rFonts w:hint="eastAsia" w:ascii="宋体" w:hAnsi="宋体" w:cs="宋体"/>
          <w:color w:val="auto"/>
          <w:sz w:val="24"/>
          <w:highlight w:val="none"/>
        </w:rPr>
        <w:t>11.2 如供方无正当理由拖延交货或不按投标文件提供服务，</w:t>
      </w:r>
      <w:r>
        <w:rPr>
          <w:rFonts w:hint="eastAsia" w:ascii="宋体" w:hAnsi="宋体" w:cs="宋体"/>
          <w:color w:val="auto"/>
          <w:sz w:val="24"/>
          <w:highlight w:val="none"/>
          <w:lang w:val="en-US" w:eastAsia="zh-CN"/>
        </w:rPr>
        <w:t>需方有权扣留</w:t>
      </w:r>
      <w:r>
        <w:rPr>
          <w:rFonts w:hint="eastAsia" w:ascii="宋体" w:hAnsi="宋体" w:cs="宋体"/>
          <w:color w:val="auto"/>
          <w:sz w:val="24"/>
          <w:highlight w:val="none"/>
        </w:rPr>
        <w:t>履约保证金</w:t>
      </w:r>
      <w:r>
        <w:rPr>
          <w:rFonts w:hint="eastAsia" w:ascii="宋体" w:hAnsi="宋体" w:cs="宋体"/>
          <w:color w:val="auto"/>
          <w:sz w:val="24"/>
          <w:highlight w:val="none"/>
          <w:lang w:val="en-US" w:eastAsia="zh-CN"/>
        </w:rPr>
        <w:t>作为违约金</w:t>
      </w:r>
      <w:r>
        <w:rPr>
          <w:rFonts w:hint="eastAsia" w:ascii="宋体" w:hAnsi="宋体" w:cs="宋体"/>
          <w:color w:val="auto"/>
          <w:sz w:val="24"/>
          <w:highlight w:val="none"/>
        </w:rPr>
        <w:t>、加收误期赔偿和／或违约终止合同。</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11.3 在履行合同过程中，如果供方遇到可能妨碍其按时交货和提供服务的情况，应及时以书面形式将拖延的事实，可能拖延的期限和理由通知需方。需方在收到供方通知后，应尽快对情况进行评价，并确定是否通过修改合同，酌情延长交货时间和/或延期提供服务，或者终止合同。</w:t>
      </w:r>
    </w:p>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十二、误期赔偿</w:t>
      </w:r>
    </w:p>
    <w:p>
      <w:pPr>
        <w:spacing w:line="360" w:lineRule="auto"/>
        <w:ind w:firstLine="480" w:firstLineChars="200"/>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rPr>
        <w:t>12.1除合同第</w:t>
      </w:r>
      <w:r>
        <w:rPr>
          <w:rFonts w:hint="eastAsia" w:ascii="宋体" w:hAnsi="宋体" w:cs="宋体"/>
          <w:color w:val="auto"/>
          <w:sz w:val="24"/>
          <w:highlight w:val="none"/>
          <w:lang w:val="en-US" w:eastAsia="zh-CN"/>
        </w:rPr>
        <w:t>十四</w:t>
      </w:r>
      <w:r>
        <w:rPr>
          <w:rFonts w:hint="eastAsia" w:ascii="宋体" w:hAnsi="宋体" w:cs="宋体"/>
          <w:color w:val="auto"/>
          <w:sz w:val="24"/>
          <w:highlight w:val="none"/>
        </w:rPr>
        <w:t>条规定外，如果供方没有按照合同规定的时间交货和提供服务，</w:t>
      </w:r>
      <w:r>
        <w:rPr>
          <w:rFonts w:hint="eastAsia" w:ascii="宋体" w:hAnsi="宋体" w:cs="宋体"/>
          <w:color w:val="auto"/>
          <w:sz w:val="24"/>
          <w:highlight w:val="none"/>
          <w:lang w:val="en-US" w:eastAsia="zh-Hans"/>
        </w:rPr>
        <w:t>需</w:t>
      </w:r>
      <w:r>
        <w:rPr>
          <w:rFonts w:hint="eastAsia" w:ascii="宋体" w:hAnsi="宋体" w:cs="宋体"/>
          <w:color w:val="auto"/>
          <w:sz w:val="24"/>
          <w:highlight w:val="none"/>
        </w:rPr>
        <w:t>方有权要求供方支付误期赔偿费。误期赔偿费每天按迟交货物的交货价或延期服务的服务费用的万分之五计收，直至交货或提供服务为止。一天按24小时计算，不足一天按一天计算，误期超过3</w:t>
      </w:r>
      <w:r>
        <w:rPr>
          <w:rFonts w:ascii="宋体" w:hAnsi="宋体" w:cs="宋体"/>
          <w:color w:val="auto"/>
          <w:sz w:val="24"/>
          <w:highlight w:val="none"/>
        </w:rPr>
        <w:t>0</w:t>
      </w:r>
      <w:r>
        <w:rPr>
          <w:rFonts w:hint="eastAsia" w:ascii="宋体" w:hAnsi="宋体" w:cs="宋体"/>
          <w:color w:val="auto"/>
          <w:sz w:val="24"/>
          <w:highlight w:val="none"/>
        </w:rPr>
        <w:t>日的，需方有权</w:t>
      </w:r>
      <w:r>
        <w:rPr>
          <w:rFonts w:hint="eastAsia" w:ascii="宋体" w:hAnsi="宋体" w:cs="宋体"/>
          <w:color w:val="auto"/>
          <w:sz w:val="24"/>
          <w:highlight w:val="none"/>
          <w:lang w:val="en-US" w:eastAsia="zh-CN"/>
        </w:rPr>
        <w:t>单方解除</w:t>
      </w:r>
      <w:r>
        <w:rPr>
          <w:rFonts w:hint="eastAsia" w:ascii="宋体" w:hAnsi="宋体" w:cs="宋体"/>
          <w:color w:val="auto"/>
          <w:sz w:val="24"/>
          <w:highlight w:val="none"/>
        </w:rPr>
        <w:t>合同并要求供方支付误期赔偿的同时要求供方承担</w:t>
      </w:r>
      <w:r>
        <w:rPr>
          <w:rFonts w:hint="eastAsia" w:ascii="宋体" w:hAnsi="宋体" w:cs="宋体"/>
          <w:color w:val="auto"/>
          <w:sz w:val="24"/>
          <w:highlight w:val="none"/>
          <w:lang w:val="en-US" w:eastAsia="zh-CN"/>
        </w:rPr>
        <w:t>合同总价款</w:t>
      </w:r>
      <w:r>
        <w:rPr>
          <w:rFonts w:hint="eastAsia" w:ascii="宋体" w:hAnsi="宋体" w:cs="宋体"/>
          <w:color w:val="auto"/>
          <w:sz w:val="24"/>
          <w:highlight w:val="none"/>
        </w:rPr>
        <w:t>5%的违约金</w:t>
      </w:r>
      <w:r>
        <w:rPr>
          <w:rFonts w:hint="eastAsia" w:ascii="宋体" w:hAnsi="宋体" w:cs="宋体"/>
          <w:color w:val="auto"/>
          <w:sz w:val="24"/>
          <w:highlight w:val="none"/>
          <w:lang w:eastAsia="zh-CN"/>
        </w:rPr>
        <w:t>。</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12.2误期赔偿费可从应付货款和/或履约保证金中扣除。</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12.3收取误期赔偿费不影响需方采取合同规定的其他补救措施的权利。</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12.4供方如未能按本合同第八条、第九条规定进行售后服务，在收到需方县级远程办书面故障处理通知之日起一个月内仍未能解决故障，需方将依据出现故障产品情况处理，按供货价格从产品余款或履约保证金中扣除。</w:t>
      </w:r>
    </w:p>
    <w:p>
      <w:pPr>
        <w:spacing w:line="24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12.5</w:t>
      </w:r>
      <w:r>
        <w:rPr>
          <w:rFonts w:hint="eastAsia" w:ascii="宋体" w:hAnsi="宋体" w:cs="宋体"/>
          <w:color w:val="auto"/>
          <w:sz w:val="24"/>
          <w:highlight w:val="none"/>
          <w:lang w:val="en-US" w:eastAsia="zh-CN"/>
        </w:rPr>
        <w:t>本合同</w:t>
      </w:r>
      <w:r>
        <w:rPr>
          <w:rFonts w:hint="eastAsia" w:ascii="宋体" w:hAnsi="宋体" w:eastAsia="宋体"/>
          <w:color w:val="auto"/>
          <w:sz w:val="24"/>
          <w:szCs w:val="24"/>
          <w:highlight w:val="none"/>
        </w:rPr>
        <w:t>解除后不影响</w:t>
      </w:r>
      <w:r>
        <w:rPr>
          <w:rFonts w:hint="eastAsia" w:ascii="宋体" w:hAnsi="宋体" w:eastAsia="宋体"/>
          <w:color w:val="auto"/>
          <w:sz w:val="24"/>
          <w:szCs w:val="24"/>
          <w:highlight w:val="none"/>
          <w:lang w:val="en-US" w:eastAsia="zh-CN"/>
        </w:rPr>
        <w:t>需</w:t>
      </w:r>
      <w:r>
        <w:rPr>
          <w:rFonts w:hint="eastAsia" w:ascii="宋体" w:hAnsi="宋体" w:eastAsia="宋体"/>
          <w:color w:val="auto"/>
          <w:sz w:val="24"/>
          <w:szCs w:val="24"/>
          <w:highlight w:val="none"/>
        </w:rPr>
        <w:t>方向</w:t>
      </w:r>
      <w:r>
        <w:rPr>
          <w:rFonts w:hint="eastAsia" w:ascii="宋体" w:hAnsi="宋体" w:eastAsia="宋体"/>
          <w:color w:val="auto"/>
          <w:sz w:val="24"/>
          <w:szCs w:val="24"/>
          <w:highlight w:val="none"/>
          <w:lang w:val="en-US" w:eastAsia="zh-CN"/>
        </w:rPr>
        <w:t>供</w:t>
      </w:r>
      <w:r>
        <w:rPr>
          <w:rFonts w:hint="eastAsia" w:ascii="宋体" w:hAnsi="宋体" w:eastAsia="宋体"/>
          <w:color w:val="auto"/>
          <w:sz w:val="24"/>
          <w:szCs w:val="24"/>
          <w:highlight w:val="none"/>
        </w:rPr>
        <w:t>方追责的权利</w:t>
      </w:r>
      <w:r>
        <w:rPr>
          <w:rFonts w:hint="eastAsia" w:ascii="宋体" w:hAnsi="宋体" w:cs="宋体"/>
          <w:color w:val="auto"/>
          <w:sz w:val="24"/>
          <w:highlight w:val="none"/>
        </w:rPr>
        <w:t>。</w:t>
      </w:r>
    </w:p>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十三、履约保证金</w:t>
      </w:r>
    </w:p>
    <w:p>
      <w:pPr>
        <w:pStyle w:val="21"/>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zh-CN"/>
        </w:rPr>
        <w:t>中标人应在订立采购合同之前向采购人提交合同总价</w:t>
      </w:r>
      <w:r>
        <w:rPr>
          <w:rFonts w:hint="eastAsia" w:ascii="宋体" w:hAnsi="宋体" w:eastAsia="宋体" w:cs="宋体"/>
          <w:b w:val="0"/>
          <w:bCs w:val="0"/>
          <w:color w:val="auto"/>
          <w:sz w:val="24"/>
          <w:szCs w:val="24"/>
          <w:highlight w:val="none"/>
        </w:rPr>
        <w:t>5</w:t>
      </w:r>
      <w:r>
        <w:rPr>
          <w:rFonts w:hint="eastAsia" w:ascii="宋体" w:hAnsi="宋体" w:eastAsia="宋体" w:cs="宋体"/>
          <w:b w:val="0"/>
          <w:bCs w:val="0"/>
          <w:color w:val="auto"/>
          <w:sz w:val="24"/>
          <w:szCs w:val="24"/>
          <w:highlight w:val="none"/>
          <w:lang w:val="zh-CN"/>
        </w:rPr>
        <w:t>%的履约保证金。</w:t>
      </w:r>
      <w:r>
        <w:rPr>
          <w:rFonts w:hint="eastAsia" w:ascii="宋体" w:hAnsi="宋体" w:eastAsia="宋体" w:cs="宋体"/>
          <w:b w:val="0"/>
          <w:bCs w:val="0"/>
          <w:color w:val="auto"/>
          <w:sz w:val="24"/>
          <w:szCs w:val="24"/>
          <w:highlight w:val="none"/>
        </w:rPr>
        <w:t>履约保证金应以银行转账、支票、汇票、本票或者金融机构、担保机构出具的保函等非现金形式提交。如未按时交纳履约保证金，视为自动放弃中标资格。</w:t>
      </w:r>
    </w:p>
    <w:p>
      <w:pPr>
        <w:pStyle w:val="21"/>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履约保证金退还的时间：待供方履行合同约定且质量保证期满后，需方扣除应由供方承担的费用、违约金及误期赔偿费等费用后不计利息一次性退还。</w:t>
      </w:r>
    </w:p>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十四、不可抗力</w:t>
      </w:r>
    </w:p>
    <w:p>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14.1 由于不可抗力事件，导致任何一方不能执行本协议中的部分或全部义务时，应及时通知对方，受不可抗力影响的一方在不可抗力影响范围内免除责任。</w:t>
      </w:r>
    </w:p>
    <w:p>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14.2 本条所述的“不可抗力”系指那些双方无法控制，不可预见的事件，但不包括供需双方的违约或疏忽。这些事件包括但不限于：战争、严重火灾、洪水、台风、地震以及其它供需双方商定的事件(供需双方认定国家政策重大变化属不可抗力)。</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 在不可抗力事件发生后，当事方应尽快以书面形式将不可抗力的情况和原因通知对方。供需双方应尽实际可能继续履行合同义务，并积极寻求采取合理的方案履行不受不可抗力影响的其他事项。供需双方应通过友好协商在合理的时间内达成进一步履行合同的协议。</w:t>
      </w:r>
    </w:p>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十五、税费</w:t>
      </w:r>
    </w:p>
    <w:p>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15.1 根据现行法律规定对需方征收的与本合同有关的一切税费均由需方负担。</w:t>
      </w:r>
    </w:p>
    <w:p>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15.2 根据现行法律规定对供方征收的与本合同有关的一切税费均由供方负担。</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15.3 在中国境外发生的与执行本合同有关的一切税费均由供方负担。</w:t>
      </w:r>
    </w:p>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十六、争端的解决</w:t>
      </w:r>
    </w:p>
    <w:p>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16.1 供需双方应通过友好协商，解决在执行本合同过程中所发生的或与本合同有关的一切争端。如从协商开始十（10）天内仍不能解决，可以向有关合同管理部门提请调解。</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16.2 如果调解不成，供需双方的任何一方可以向需方所在地人民法院</w:t>
      </w:r>
      <w:r>
        <w:rPr>
          <w:rFonts w:hint="eastAsia" w:ascii="宋体" w:hAnsi="宋体" w:cs="宋体"/>
          <w:color w:val="auto"/>
          <w:sz w:val="24"/>
          <w:highlight w:val="none"/>
          <w:lang w:val="en-US" w:eastAsia="zh-Hans"/>
        </w:rPr>
        <w:t>提起诉讼</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16.3诉讼费除法院另有裁决外均由败诉方负担。</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16.4在诉讼期间，除正在进行诉讼的部分外，本合同的其它部分应继续执行。</w:t>
      </w:r>
    </w:p>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十七、违约终止合同</w:t>
      </w:r>
    </w:p>
    <w:p>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17.1 在需方因供方违约而按合同约定采取的任何补救措施不受影响的情况下，需方可在下列情况下向供方发出书面通知，提出终止部分或全部合同。</w:t>
      </w:r>
      <w:r>
        <w:rPr>
          <w:rFonts w:hint="eastAsia" w:ascii="宋体" w:hAnsi="宋体" w:cs="宋体"/>
          <w:color w:val="auto"/>
          <w:sz w:val="24"/>
          <w:highlight w:val="none"/>
          <w:lang w:val="en-US" w:eastAsia="zh-CN"/>
        </w:rPr>
        <w:t>供</w:t>
      </w:r>
      <w:r>
        <w:rPr>
          <w:rFonts w:hint="eastAsia" w:ascii="宋体" w:hAnsi="宋体" w:eastAsia="宋体"/>
          <w:color w:val="auto"/>
          <w:sz w:val="24"/>
          <w:szCs w:val="24"/>
          <w:highlight w:val="none"/>
        </w:rPr>
        <w:t>方因其违约而给</w:t>
      </w:r>
      <w:r>
        <w:rPr>
          <w:rFonts w:hint="eastAsia" w:ascii="宋体" w:hAnsi="宋体" w:eastAsia="宋体"/>
          <w:color w:val="auto"/>
          <w:sz w:val="24"/>
          <w:szCs w:val="24"/>
          <w:highlight w:val="none"/>
          <w:lang w:val="en-US" w:eastAsia="zh-CN"/>
        </w:rPr>
        <w:t>需</w:t>
      </w:r>
      <w:r>
        <w:rPr>
          <w:rFonts w:hint="eastAsia" w:ascii="宋体" w:hAnsi="宋体" w:eastAsia="宋体"/>
          <w:color w:val="auto"/>
          <w:sz w:val="24"/>
          <w:szCs w:val="24"/>
          <w:highlight w:val="none"/>
        </w:rPr>
        <w:t>方造成损害的，</w:t>
      </w:r>
      <w:r>
        <w:rPr>
          <w:rFonts w:hint="eastAsia" w:ascii="宋体" w:hAnsi="宋体" w:eastAsia="宋体"/>
          <w:color w:val="auto"/>
          <w:sz w:val="24"/>
          <w:szCs w:val="24"/>
          <w:highlight w:val="none"/>
          <w:lang w:val="en-US" w:eastAsia="zh-CN"/>
        </w:rPr>
        <w:t>供方</w:t>
      </w:r>
      <w:r>
        <w:rPr>
          <w:rFonts w:hint="eastAsia" w:ascii="宋体" w:hAnsi="宋体" w:eastAsia="宋体"/>
          <w:color w:val="auto"/>
          <w:sz w:val="24"/>
          <w:szCs w:val="24"/>
          <w:highlight w:val="none"/>
        </w:rPr>
        <w:t>应</w:t>
      </w:r>
      <w:r>
        <w:rPr>
          <w:rFonts w:hint="eastAsia" w:ascii="宋体" w:hAnsi="宋体" w:eastAsia="宋体"/>
          <w:color w:val="auto"/>
          <w:sz w:val="24"/>
          <w:szCs w:val="24"/>
          <w:highlight w:val="none"/>
          <w:lang w:val="en-US" w:eastAsia="zh-CN"/>
        </w:rPr>
        <w:t>向需方</w:t>
      </w:r>
      <w:r>
        <w:rPr>
          <w:rFonts w:hint="eastAsia" w:ascii="宋体" w:hAnsi="宋体" w:eastAsia="宋体"/>
          <w:color w:val="auto"/>
          <w:sz w:val="24"/>
          <w:szCs w:val="24"/>
          <w:highlight w:val="none"/>
        </w:rPr>
        <w:t>承担损害赔偿责任同时支付合同</w:t>
      </w:r>
      <w:r>
        <w:rPr>
          <w:rFonts w:hint="eastAsia" w:ascii="宋体" w:hAnsi="宋体" w:eastAsia="宋体"/>
          <w:color w:val="auto"/>
          <w:sz w:val="24"/>
          <w:szCs w:val="24"/>
          <w:highlight w:val="none"/>
          <w:lang w:val="en-US" w:eastAsia="zh-CN"/>
        </w:rPr>
        <w:t>总</w:t>
      </w:r>
      <w:r>
        <w:rPr>
          <w:rFonts w:hint="eastAsia" w:ascii="宋体" w:hAnsi="宋体" w:eastAsia="宋体"/>
          <w:color w:val="auto"/>
          <w:sz w:val="24"/>
          <w:szCs w:val="24"/>
          <w:highlight w:val="none"/>
        </w:rPr>
        <w:t>价款</w:t>
      </w:r>
      <w:r>
        <w:rPr>
          <w:rFonts w:hint="eastAsia" w:ascii="宋体" w:hAnsi="宋体"/>
          <w:color w:val="auto"/>
          <w:sz w:val="24"/>
          <w:szCs w:val="24"/>
          <w:highlight w:val="none"/>
          <w:lang w:val="en-US" w:eastAsia="zh-CN"/>
        </w:rPr>
        <w:t>5</w:t>
      </w:r>
      <w:r>
        <w:rPr>
          <w:rFonts w:hint="eastAsia" w:ascii="宋体" w:hAnsi="宋体" w:eastAsia="宋体"/>
          <w:color w:val="auto"/>
          <w:sz w:val="24"/>
          <w:szCs w:val="24"/>
          <w:highlight w:val="none"/>
        </w:rPr>
        <w:t>%违约金。</w:t>
      </w:r>
    </w:p>
    <w:p>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（1）如果供方未能在合同规定的限期或需方同意延长的限期内提供部分或全部货物和服务。</w:t>
      </w:r>
    </w:p>
    <w:p>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（2）如果供方未能履行合同规定的其它任何义务。</w:t>
      </w:r>
    </w:p>
    <w:p>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3）如果需方认为供方在本合同的竞争或实施中有腐败和欺诈行为。为此，定义如下：“腐败行为”是指提供、给予、接受或索取任何有价值的东西来影响采购人员在采购过程或合同实施过程中的行为；“欺诈行为”是指为了影响采购过程或合同实施过程而谎报事实，损害采购人的利益，包括供货单位之间串通，人为地使供货活动丧失竞争性，损害采购人所能获得的权益。</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17.2 如果需方根据上述第1</w:t>
      </w:r>
      <w:r>
        <w:rPr>
          <w:rFonts w:hint="default" w:ascii="宋体" w:hAnsi="宋体" w:cs="宋体"/>
          <w:color w:val="auto"/>
          <w:sz w:val="24"/>
          <w:highlight w:val="none"/>
        </w:rPr>
        <w:t>7</w:t>
      </w:r>
      <w:r>
        <w:rPr>
          <w:rFonts w:hint="eastAsia" w:ascii="宋体" w:hAnsi="宋体" w:cs="宋体"/>
          <w:color w:val="auto"/>
          <w:sz w:val="24"/>
          <w:highlight w:val="none"/>
        </w:rPr>
        <w:t>.1款的规定，终止了全部或部分合同，需方可以依其认为适当的条件和方法购买与未交货物类似的货物，供方应对购买类似货物所超出的那部分费用负责。供方提交的履约保证金将被作为需方采取上述补救措施的购买资金的一部分。并且，供方应继续履行合同中未终止的部分。</w:t>
      </w:r>
    </w:p>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十八、破产终止合同</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18.1 如果供方破产或丧失清偿能力，需方可在任何时候以书面形式通知供方终止合同而不给供方补偿。该终止合同将不损害或影响需方已经采取或将要采取任何补救措施的权</w:t>
      </w:r>
      <w:r>
        <w:rPr>
          <w:rFonts w:hint="eastAsia" w:ascii="宋体" w:hAnsi="宋体" w:cs="宋体"/>
          <w:color w:val="auto"/>
          <w:sz w:val="24"/>
          <w:highlight w:val="none"/>
          <w:lang w:val="en-US" w:eastAsia="zh-CN"/>
        </w:rPr>
        <w:t>利</w:t>
      </w:r>
      <w:r>
        <w:rPr>
          <w:rFonts w:hint="eastAsia" w:ascii="宋体" w:hAnsi="宋体" w:cs="宋体"/>
          <w:color w:val="auto"/>
          <w:sz w:val="24"/>
          <w:highlight w:val="none"/>
        </w:rPr>
        <w:t>。</w:t>
      </w:r>
    </w:p>
    <w:p>
      <w:pPr>
        <w:spacing w:line="360" w:lineRule="auto"/>
        <w:ind w:firstLine="482" w:firstLineChars="200"/>
        <w:rPr>
          <w:rFonts w:hint="eastAsia" w:ascii="宋体" w:hAnsi="宋体" w:cs="宋体"/>
          <w:color w:val="auto"/>
          <w:sz w:val="24"/>
          <w:highlight w:val="none"/>
        </w:rPr>
      </w:pPr>
      <w:r>
        <w:rPr>
          <w:rFonts w:hint="eastAsia" w:ascii="宋体" w:hAnsi="宋体" w:cs="宋体"/>
          <w:b/>
          <w:color w:val="auto"/>
          <w:sz w:val="24"/>
          <w:highlight w:val="none"/>
        </w:rPr>
        <w:t>十九、合同转让和分包</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供方不得部分转让和分包或全部转让和分包其应履行的合同义务，否则需方有权单方解除本合同并要求供方支付合同总价款    %的违约金。</w:t>
      </w:r>
    </w:p>
    <w:p>
      <w:pPr>
        <w:spacing w:line="360" w:lineRule="auto"/>
        <w:ind w:right="-80" w:rightChars="-38" w:firstLine="482" w:firstLineChars="200"/>
        <w:rPr>
          <w:rFonts w:hint="eastAsia" w:ascii="宋体" w:hAnsi="宋体" w:cs="宋体"/>
          <w:color w:val="auto"/>
          <w:sz w:val="24"/>
          <w:highlight w:val="none"/>
        </w:rPr>
      </w:pPr>
      <w:r>
        <w:rPr>
          <w:rFonts w:hint="eastAsia" w:ascii="宋体" w:hAnsi="宋体" w:cs="宋体"/>
          <w:b/>
          <w:color w:val="auto"/>
          <w:sz w:val="24"/>
          <w:highlight w:val="none"/>
        </w:rPr>
        <w:t>二十、需要补充的合同条款</w:t>
      </w:r>
    </w:p>
    <w:p>
      <w:pPr>
        <w:spacing w:line="360" w:lineRule="auto"/>
        <w:ind w:right="-80" w:rightChars="-38" w:firstLine="540" w:firstLineChars="225"/>
        <w:rPr>
          <w:rFonts w:hint="eastAsia" w:ascii="宋体" w:hAnsi="宋体" w:cs="宋体"/>
          <w:color w:val="auto"/>
          <w:sz w:val="24"/>
          <w:highlight w:val="none"/>
        </w:rPr>
      </w:pPr>
      <w:r>
        <w:rPr>
          <w:rFonts w:hint="eastAsia" w:ascii="宋体" w:hAnsi="宋体" w:cs="宋体"/>
          <w:color w:val="auto"/>
          <w:sz w:val="24"/>
          <w:highlight w:val="none"/>
        </w:rPr>
        <w:t xml:space="preserve"> 根据评标过程中或者商务谈判时商定的条款和条件在订立合同时标明。</w:t>
      </w:r>
    </w:p>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二十一、适用法律</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本合同按照中华人民共和国的现行法律进行解释。</w:t>
      </w:r>
    </w:p>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二十二、合同生效</w:t>
      </w:r>
    </w:p>
    <w:p>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本合同在供需双方法定代表人或其授权代理人签字并加盖公章并且采购方收到供方提交的履约保证金后生效。 </w:t>
      </w:r>
    </w:p>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二十三、合同附件</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下列文件构成本合同不可分割的组成部分，与本合同具有同等法律效力，本合同未尽事宜，参照下列文件执行：</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1、招标文件及澄清、补充文件；</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2、供方的投标文件、在投标期间的书面承诺文件和售后服务承诺书；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3、产品样本、说明书、图纸（与合同配置不符之处，以合同为准）；</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4、中标通知书；</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5、政府采购验收报告单；</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6、合同的其他附件：</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上述合同附件如果有不一致之处，以日期在后的和对需方有利的为准。</w:t>
      </w:r>
    </w:p>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二十四、合同修改</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除供需双方和采购方签署书面修改、补充协议，并成为本合同不可分割的一部分之外，本合同条件不得有任何变化或修改。</w:t>
      </w:r>
    </w:p>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二十五、合同备案</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自本合同订立之日起七个工作日内，</w:t>
      </w:r>
      <w:r>
        <w:rPr>
          <w:rFonts w:hint="eastAsia" w:ascii="宋体" w:hAnsi="宋体" w:cs="宋体"/>
          <w:color w:val="auto"/>
          <w:sz w:val="24"/>
          <w:highlight w:val="none"/>
          <w:lang w:val="en-US" w:eastAsia="zh-CN"/>
        </w:rPr>
        <w:t>由    方负责</w:t>
      </w:r>
      <w:r>
        <w:rPr>
          <w:rFonts w:hint="eastAsia" w:ascii="宋体" w:hAnsi="宋体" w:cs="宋体"/>
          <w:color w:val="auto"/>
          <w:sz w:val="24"/>
          <w:highlight w:val="none"/>
        </w:rPr>
        <w:t>向本级政府采购监督管理部门备案。</w:t>
      </w:r>
    </w:p>
    <w:p>
      <w:pPr>
        <w:spacing w:line="360" w:lineRule="auto"/>
        <w:ind w:firstLine="482" w:firstLineChars="200"/>
        <w:rPr>
          <w:rFonts w:hint="eastAsia" w:ascii="宋体" w:hAnsi="宋体" w:cs="宋体"/>
          <w:b/>
          <w:bCs/>
          <w:color w:val="auto"/>
          <w:sz w:val="24"/>
          <w:highlight w:val="none"/>
        </w:rPr>
      </w:pPr>
      <w:r>
        <w:rPr>
          <w:rFonts w:hint="eastAsia" w:ascii="宋体" w:hAnsi="宋体" w:cs="宋体"/>
          <w:b/>
          <w:color w:val="auto"/>
          <w:sz w:val="24"/>
          <w:highlight w:val="none"/>
        </w:rPr>
        <w:t>二十六、政府采购法对政府采购合同变更终止的规定：</w:t>
      </w:r>
      <w:r>
        <w:rPr>
          <w:rFonts w:hint="eastAsia" w:ascii="宋体" w:hAnsi="宋体" w:cs="宋体"/>
          <w:color w:val="auto"/>
          <w:sz w:val="24"/>
          <w:highlight w:val="none"/>
        </w:rPr>
        <w:t>“政府采购合同的双方当事人不得擅自变更、中止或者终止合同。政府采购合同继续履行将损害国家利益和社会公共利益的，双方当事人应当变更、中止或者终止合同。有过错的一方应当承担赔偿责任，双方都有过错的，各自承担相应的责任。”在本合同中，双方当事人指供需双方。</w:t>
      </w:r>
    </w:p>
    <w:p>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w:t>
      </w:r>
    </w:p>
    <w:p>
      <w:pPr>
        <w:spacing w:line="360" w:lineRule="auto"/>
        <w:ind w:firstLine="240" w:firstLineChars="100"/>
        <w:rPr>
          <w:rFonts w:hint="eastAsia" w:ascii="宋体" w:hAnsi="宋体" w:cs="宋体"/>
          <w:color w:val="auto"/>
          <w:sz w:val="24"/>
          <w:highlight w:val="none"/>
        </w:rPr>
      </w:pPr>
      <w:r>
        <w:rPr>
          <w:rFonts w:hint="eastAsia" w:ascii="宋体" w:hAnsi="宋体" w:cs="宋体"/>
          <w:color w:val="auto"/>
          <w:sz w:val="24"/>
          <w:highlight w:val="none"/>
        </w:rPr>
        <w:t>需方：                                  供方：</w:t>
      </w:r>
    </w:p>
    <w:p>
      <w:pPr>
        <w:spacing w:line="360" w:lineRule="auto"/>
        <w:ind w:firstLine="240" w:firstLineChars="100"/>
        <w:rPr>
          <w:rFonts w:hint="eastAsia" w:ascii="宋体" w:hAnsi="宋体" w:cs="宋体"/>
          <w:color w:val="auto"/>
          <w:sz w:val="24"/>
          <w:highlight w:val="none"/>
        </w:rPr>
      </w:pPr>
      <w:r>
        <w:rPr>
          <w:rFonts w:hint="eastAsia" w:ascii="宋体" w:hAnsi="宋体" w:cs="宋体"/>
          <w:color w:val="auto"/>
          <w:sz w:val="24"/>
          <w:highlight w:val="none"/>
        </w:rPr>
        <w:t>地址：                                  地址：</w:t>
      </w:r>
    </w:p>
    <w:p>
      <w:pPr>
        <w:spacing w:line="360" w:lineRule="auto"/>
        <w:ind w:firstLine="240" w:firstLineChars="100"/>
        <w:rPr>
          <w:rFonts w:hint="eastAsia" w:ascii="宋体" w:hAnsi="宋体" w:cs="宋体"/>
          <w:color w:val="auto"/>
          <w:sz w:val="24"/>
          <w:highlight w:val="none"/>
        </w:rPr>
      </w:pPr>
      <w:r>
        <w:rPr>
          <w:rFonts w:hint="eastAsia" w:ascii="宋体" w:hAnsi="宋体" w:cs="宋体"/>
          <w:color w:val="auto"/>
          <w:sz w:val="24"/>
          <w:highlight w:val="none"/>
        </w:rPr>
        <w:t xml:space="preserve">法定代表人 ：                           法定代表人 :              </w:t>
      </w:r>
    </w:p>
    <w:p>
      <w:pPr>
        <w:spacing w:line="360" w:lineRule="auto"/>
        <w:ind w:firstLine="240" w:firstLineChars="100"/>
        <w:rPr>
          <w:rFonts w:hint="eastAsia" w:ascii="宋体" w:hAnsi="宋体" w:cs="宋体"/>
          <w:color w:val="auto"/>
          <w:sz w:val="24"/>
          <w:highlight w:val="none"/>
        </w:rPr>
      </w:pPr>
      <w:r>
        <w:rPr>
          <w:rFonts w:hint="eastAsia" w:ascii="宋体" w:hAnsi="宋体" w:cs="宋体"/>
          <w:color w:val="auto"/>
          <w:sz w:val="24"/>
          <w:highlight w:val="none"/>
        </w:rPr>
        <w:t>或授权</w:t>
      </w:r>
      <w:r>
        <w:rPr>
          <w:rFonts w:hint="eastAsia" w:ascii="宋体" w:hAnsi="宋体" w:cs="宋体"/>
          <w:color w:val="auto"/>
          <w:sz w:val="24"/>
          <w:highlight w:val="none"/>
          <w:lang w:val="en-US" w:eastAsia="zh-Hans"/>
        </w:rPr>
        <w:t>代理</w:t>
      </w:r>
      <w:r>
        <w:rPr>
          <w:rFonts w:hint="eastAsia" w:ascii="宋体" w:hAnsi="宋体" w:cs="宋体"/>
          <w:color w:val="auto"/>
          <w:sz w:val="24"/>
          <w:highlight w:val="none"/>
        </w:rPr>
        <w:t>人：                          或授权代理人：</w:t>
      </w:r>
    </w:p>
    <w:p>
      <w:pPr>
        <w:spacing w:line="360" w:lineRule="auto"/>
        <w:ind w:firstLine="240" w:firstLineChars="100"/>
        <w:rPr>
          <w:rFonts w:hint="eastAsia" w:ascii="宋体" w:hAnsi="宋体" w:cs="宋体"/>
          <w:color w:val="auto"/>
          <w:sz w:val="24"/>
          <w:highlight w:val="none"/>
        </w:rPr>
      </w:pPr>
      <w:r>
        <w:rPr>
          <w:rFonts w:hint="eastAsia" w:ascii="宋体" w:hAnsi="宋体" w:cs="宋体"/>
          <w:color w:val="auto"/>
          <w:sz w:val="24"/>
          <w:highlight w:val="none"/>
        </w:rPr>
        <w:t>签字日期：                              签字日期：</w:t>
      </w:r>
    </w:p>
    <w:p>
      <w:pPr>
        <w:spacing w:line="360" w:lineRule="auto"/>
        <w:ind w:firstLine="240" w:firstLineChars="100"/>
        <w:rPr>
          <w:rFonts w:hint="eastAsia" w:ascii="宋体" w:hAnsi="宋体" w:cs="宋体"/>
          <w:color w:val="auto"/>
          <w:sz w:val="24"/>
          <w:highlight w:val="none"/>
        </w:rPr>
      </w:pPr>
      <w:r>
        <w:rPr>
          <w:rFonts w:hint="eastAsia" w:ascii="宋体" w:hAnsi="宋体" w:cs="宋体"/>
          <w:color w:val="auto"/>
          <w:sz w:val="24"/>
          <w:highlight w:val="none"/>
        </w:rPr>
        <w:t>邮政编码：                              邮政编码：</w:t>
      </w:r>
    </w:p>
    <w:p>
      <w:pPr>
        <w:spacing w:line="360" w:lineRule="auto"/>
        <w:ind w:firstLine="240" w:firstLineChars="100"/>
        <w:rPr>
          <w:rFonts w:hint="eastAsia" w:ascii="宋体" w:hAnsi="宋体" w:cs="宋体"/>
          <w:color w:val="auto"/>
          <w:sz w:val="24"/>
          <w:highlight w:val="none"/>
        </w:rPr>
      </w:pPr>
      <w:r>
        <w:rPr>
          <w:rFonts w:hint="eastAsia" w:ascii="宋体" w:hAnsi="宋体" w:cs="宋体"/>
          <w:color w:val="auto"/>
          <w:sz w:val="24"/>
          <w:highlight w:val="none"/>
        </w:rPr>
        <w:t>电话：                                  电话：</w:t>
      </w:r>
    </w:p>
    <w:p>
      <w:pPr>
        <w:spacing w:line="360" w:lineRule="auto"/>
        <w:ind w:firstLine="240" w:firstLineChars="100"/>
        <w:rPr>
          <w:rFonts w:hint="eastAsia" w:ascii="宋体" w:hAnsi="宋体" w:cs="宋体"/>
          <w:color w:val="auto"/>
          <w:sz w:val="24"/>
          <w:highlight w:val="none"/>
        </w:rPr>
      </w:pPr>
      <w:r>
        <w:rPr>
          <w:rFonts w:hint="eastAsia" w:ascii="宋体" w:hAnsi="宋体" w:cs="宋体"/>
          <w:color w:val="auto"/>
          <w:sz w:val="24"/>
          <w:highlight w:val="none"/>
        </w:rPr>
        <w:t>传真：                                  传真：</w:t>
      </w:r>
    </w:p>
    <w:p>
      <w:pPr>
        <w:spacing w:line="360" w:lineRule="auto"/>
        <w:ind w:firstLine="240" w:firstLineChars="100"/>
        <w:rPr>
          <w:rFonts w:hint="eastAsia" w:ascii="宋体" w:hAnsi="宋体" w:cs="宋体"/>
          <w:color w:val="auto"/>
          <w:sz w:val="24"/>
          <w:highlight w:val="none"/>
        </w:rPr>
      </w:pPr>
      <w:r>
        <w:rPr>
          <w:rFonts w:hint="eastAsia" w:ascii="宋体" w:hAnsi="宋体" w:cs="宋体"/>
          <w:color w:val="auto"/>
          <w:sz w:val="24"/>
          <w:highlight w:val="none"/>
        </w:rPr>
        <w:t>联系人：                                联系人：</w:t>
      </w:r>
    </w:p>
    <w:p>
      <w:pPr>
        <w:spacing w:line="360" w:lineRule="auto"/>
        <w:ind w:firstLine="240" w:firstLineChars="100"/>
        <w:rPr>
          <w:rFonts w:hint="eastAsia" w:ascii="宋体" w:hAnsi="宋体" w:cs="宋体"/>
          <w:color w:val="auto"/>
          <w:sz w:val="24"/>
          <w:highlight w:val="none"/>
        </w:rPr>
      </w:pPr>
      <w:r>
        <w:rPr>
          <w:rFonts w:hint="eastAsia" w:ascii="宋体" w:hAnsi="宋体" w:cs="宋体"/>
          <w:color w:val="auto"/>
          <w:sz w:val="24"/>
          <w:highlight w:val="none"/>
        </w:rPr>
        <w:t>开户银行：                              开户银行：</w:t>
      </w:r>
    </w:p>
    <w:p>
      <w:pPr>
        <w:spacing w:line="360" w:lineRule="auto"/>
        <w:ind w:firstLine="240" w:firstLineChars="100"/>
        <w:rPr>
          <w:rFonts w:hint="eastAsia" w:ascii="宋体" w:hAnsi="宋体" w:cs="宋体"/>
          <w:color w:val="auto"/>
          <w:sz w:val="24"/>
          <w:highlight w:val="none"/>
        </w:rPr>
      </w:pPr>
      <w:r>
        <w:rPr>
          <w:rFonts w:hint="eastAsia" w:ascii="宋体" w:hAnsi="宋体" w:cs="宋体"/>
          <w:color w:val="auto"/>
          <w:sz w:val="24"/>
          <w:highlight w:val="none"/>
        </w:rPr>
        <w:t>账户名称:                               账户名称：</w:t>
      </w:r>
    </w:p>
    <w:p>
      <w:pPr>
        <w:spacing w:line="360" w:lineRule="auto"/>
        <w:ind w:firstLine="240" w:firstLineChars="100"/>
        <w:rPr>
          <w:rFonts w:ascii="宋体" w:hAnsi="宋体" w:cs="宋体"/>
          <w:color w:val="auto"/>
          <w:sz w:val="24"/>
          <w:highlight w:val="none"/>
        </w:rPr>
      </w:pPr>
      <w:r>
        <w:rPr>
          <w:rFonts w:hint="eastAsia" w:ascii="宋体" w:hAnsi="宋体" w:cs="宋体"/>
          <w:color w:val="auto"/>
          <w:sz w:val="24"/>
          <w:highlight w:val="none"/>
        </w:rPr>
        <w:t>账号：                                  账号：</w:t>
      </w:r>
    </w:p>
    <w:p>
      <w:pPr>
        <w:spacing w:line="360" w:lineRule="auto"/>
        <w:rPr>
          <w:rFonts w:ascii="宋体" w:hAnsi="宋体" w:cs="宋体"/>
          <w:color w:val="auto"/>
          <w:highlight w:val="none"/>
        </w:rPr>
        <w:sectPr>
          <w:pgSz w:w="11906" w:h="16838"/>
          <w:pgMar w:top="1361" w:right="1304" w:bottom="1247" w:left="1304" w:header="680" w:footer="680" w:gutter="0"/>
          <w:cols w:space="720" w:num="1"/>
          <w:docGrid w:linePitch="312" w:charSpace="0"/>
        </w:sectPr>
      </w:pPr>
    </w:p>
    <w:p>
      <w:pPr>
        <w:pStyle w:val="3"/>
        <w:bidi w:val="0"/>
        <w:spacing w:line="240" w:lineRule="auto"/>
        <w:jc w:val="center"/>
        <w:rPr>
          <w:rFonts w:hint="eastAsia" w:ascii="宋体" w:hAnsi="宋体"/>
          <w:color w:val="auto"/>
          <w:sz w:val="24"/>
          <w:szCs w:val="24"/>
          <w:highlight w:val="none"/>
        </w:rPr>
      </w:pPr>
      <w:bookmarkStart w:id="84" w:name="_Toc12326"/>
      <w:r>
        <w:rPr>
          <w:rFonts w:hint="eastAsia"/>
          <w:color w:val="auto"/>
          <w:highlight w:val="none"/>
          <w:lang w:val="en-US" w:eastAsia="zh-CN"/>
        </w:rPr>
        <w:t xml:space="preserve">第五章 </w:t>
      </w:r>
      <w:r>
        <w:rPr>
          <w:rFonts w:hint="eastAsia"/>
          <w:color w:val="auto"/>
          <w:highlight w:val="none"/>
        </w:rPr>
        <w:t>技术</w:t>
      </w:r>
      <w:bookmarkStart w:id="85" w:name="_Toc137493721"/>
      <w:bookmarkStart w:id="86" w:name="_Toc142819438"/>
      <w:bookmarkStart w:id="87" w:name="_Toc155544236"/>
      <w:bookmarkStart w:id="88" w:name="_Toc419230801"/>
      <w:bookmarkStart w:id="89" w:name="_Toc356283733"/>
      <w:r>
        <w:rPr>
          <w:rFonts w:hint="eastAsia"/>
          <w:color w:val="auto"/>
          <w:highlight w:val="none"/>
        </w:rPr>
        <w:t>需求</w:t>
      </w:r>
      <w:bookmarkEnd w:id="84"/>
    </w:p>
    <w:bookmarkEnd w:id="85"/>
    <w:bookmarkEnd w:id="86"/>
    <w:bookmarkEnd w:id="87"/>
    <w:bookmarkEnd w:id="88"/>
    <w:bookmarkEnd w:id="89"/>
    <w:p/>
    <w:p>
      <w:pPr>
        <w:rPr>
          <w:rFonts w:ascii="宋体" w:hAnsi="宋体" w:eastAsia="宋体" w:cs="宋体"/>
          <w:b/>
          <w:bCs/>
          <w:color w:val="000000" w:themeColor="text1"/>
          <w:sz w:val="24"/>
          <w:szCs w:val="24"/>
          <w14:textFill>
            <w14:solidFill>
              <w14:schemeClr w14:val="tx1"/>
            </w14:solidFill>
          </w14:textFill>
        </w:rPr>
      </w:pPr>
    </w:p>
    <w:p>
      <w:pPr>
        <w:pageBreakBefore w:val="0"/>
        <w:numPr>
          <w:ilvl w:val="0"/>
          <w:numId w:val="8"/>
        </w:numPr>
        <w:kinsoku/>
        <w:wordWrap/>
        <w:overflowPunct/>
        <w:topLinePunct w:val="0"/>
        <w:bidi w:val="0"/>
        <w:spacing w:line="240" w:lineRule="auto"/>
        <w:ind w:left="-420" w:leftChars="0" w:firstLine="420" w:firstLineChars="0"/>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热成像空气呼吸器</w:t>
      </w:r>
      <w:r>
        <w:rPr>
          <w:rFonts w:hint="eastAsia" w:ascii="宋体" w:hAnsi="宋体" w:cs="宋体"/>
          <w:b/>
          <w:bCs/>
          <w:color w:val="000000" w:themeColor="text1"/>
          <w:sz w:val="24"/>
          <w:szCs w:val="24"/>
          <w:lang w:val="en-US" w:eastAsia="zh-CN"/>
          <w14:textFill>
            <w14:solidFill>
              <w14:schemeClr w14:val="tx1"/>
            </w14:solidFill>
          </w14:textFill>
        </w:rPr>
        <w:t xml:space="preserve"> </w:t>
      </w:r>
    </w:p>
    <w:p>
      <w:pPr>
        <w:pStyle w:val="14"/>
        <w:spacing w:line="240" w:lineRule="auto"/>
        <w:rPr>
          <w:rFonts w:hint="default" w:eastAsia="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w:t>
      </w:r>
      <w:r>
        <w:rPr>
          <w:rFonts w:hint="eastAsia" w:ascii="宋体" w:hAnsi="宋体" w:eastAsia="宋体" w:cs="宋体"/>
          <w:b/>
          <w:bCs/>
          <w:color w:val="000000" w:themeColor="text1"/>
          <w:sz w:val="24"/>
          <w:szCs w:val="24"/>
          <w:lang w:val="en-US" w:eastAsia="zh-CN"/>
          <w14:textFill>
            <w14:solidFill>
              <w14:schemeClr w14:val="tx1"/>
            </w14:solidFill>
          </w14:textFill>
        </w:rPr>
        <w:t>提供说明书及操作手册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b w:val="0"/>
          <w:bCs/>
          <w:color w:val="000000" w:themeColor="text1"/>
          <w:sz w:val="24"/>
          <w:szCs w:val="24"/>
          <w:highlight w:val="none"/>
          <w14:textFill>
            <w14:solidFill>
              <w14:schemeClr w14:val="tx1"/>
            </w14:solidFill>
          </w14:textFill>
        </w:rPr>
        <w:t>★</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1、提供</w:t>
      </w:r>
      <w:r>
        <w:rPr>
          <w:rFonts w:hint="eastAsia" w:ascii="宋体" w:hAnsi="宋体" w:cs="宋体"/>
          <w:b/>
          <w:bCs/>
          <w:color w:val="000000" w:themeColor="text1"/>
          <w:sz w:val="24"/>
          <w:szCs w:val="24"/>
          <w:highlight w:val="none"/>
          <w:lang w:val="en-US" w:eastAsia="zh-CN"/>
          <w14:textFill>
            <w14:solidFill>
              <w14:schemeClr w14:val="tx1"/>
            </w14:solidFill>
          </w14:textFill>
        </w:rPr>
        <w:t>省级以上检测机构</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出具的检测报告复印件或扫描件。</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2、为消防救援人员提供呼吸防护，并可在黑暗、浓烟、雨雾环境中提供热成像图像，实现对人员的搜救或火源查找。</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b w:val="0"/>
          <w:bCs/>
          <w:color w:val="000000" w:themeColor="text1"/>
          <w:sz w:val="24"/>
          <w:szCs w:val="24"/>
          <w:highlight w:val="none"/>
          <w14:textFill>
            <w14:solidFill>
              <w14:schemeClr w14:val="tx1"/>
            </w14:solidFill>
          </w14:textFill>
        </w:rPr>
        <w:t>★</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3、整套装备由热成像呼吸面罩、供气阀、气瓶、减压器、背托等部件组成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b w:val="0"/>
          <w:bCs/>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4、热成像呼吸面罩：由头戴式呼吸面罩、热成像相机和显示器三个模块组成，热成像相机和显示器采用无线方式传输视频信号，支持接入消防宽带MESH自组网通讯设备。</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4.1探测辨率：≥250×190；</w:t>
      </w:r>
    </w:p>
    <w:p>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4.2显示分辨率：≥1000*700</w:t>
      </w:r>
    </w:p>
    <w:p>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4.3测温范围：-20～500℃；</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4.4允许误差：</w:t>
      </w:r>
      <w:r>
        <w:rPr>
          <w:rFonts w:hint="eastAsia" w:ascii="宋体" w:hAnsi="宋体" w:eastAsia="宋体" w:cs="宋体"/>
          <w:i w:val="0"/>
          <w:iCs w:val="0"/>
          <w:caps w:val="0"/>
          <w:color w:val="000000" w:themeColor="text1"/>
          <w:spacing w:val="0"/>
          <w:kern w:val="0"/>
          <w:sz w:val="24"/>
          <w:szCs w:val="24"/>
          <w:shd w:val="clear" w:fill="FFFFFF"/>
          <w:lang w:val="en-US" w:eastAsia="zh-CN" w:bidi="ar"/>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±10℃或测量值的±10%；</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4.5空间分辨率：≥3mrad；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4.6工作波段：8～14um；</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4.7热成像显示模式：≥2种。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4.8、采样帧速率：≥20帧/秒.</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4.9、连续工作时间：≥2h。</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5、供气阀：设置自动正压机构，供气量≥450L/min，自带应急冲泄阀,具备应急强制供气,冲刷面窗,泄放余气的功能。供气阀与面罩的连接采用卡口式或者快插式连接，单手操作。</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6、气瓶：符合 GB28053-2011《呼吸器用复合气瓶》规定碳纤维复合气瓶，气瓶容量9L，每个气瓶配有保护套（阻燃材质），有防误关装置。工作压力：30MPa，侧开瓶阀，阀头带有橡胶保护功能，防止磕碰。</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7、减压器：输出压力0.6—0.9MPa,配有方向型手轮；设置安全阀，开启压力应在减压器输出压力最大值的110%--170%范围内，关闭压力≥0.9Mpa。</w:t>
      </w:r>
    </w:p>
    <w:p>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8、背托：</w:t>
      </w:r>
      <w:r>
        <w:rPr>
          <w:rFonts w:hint="eastAsia" w:ascii="宋体" w:hAnsi="宋体" w:eastAsia="宋体" w:cs="宋体"/>
          <w:color w:val="000000" w:themeColor="text1"/>
          <w:sz w:val="24"/>
          <w:szCs w:val="24"/>
          <w14:textFill>
            <w14:solidFill>
              <w14:schemeClr w14:val="tx1"/>
            </w14:solidFill>
          </w14:textFill>
        </w:rPr>
        <w:t>背架为高强度的复合材料制成，高、中压管隐藏于气瓶与背板之间；整体按人体工程学设计</w:t>
      </w:r>
      <w:r>
        <w:rPr>
          <w:rFonts w:hint="eastAsia" w:ascii="宋体" w:hAnsi="宋体" w:eastAsia="宋体" w:cs="宋体"/>
          <w:color w:val="000000" w:themeColor="text1"/>
          <w:sz w:val="24"/>
          <w:szCs w:val="24"/>
          <w:lang w:eastAsia="zh-CN"/>
          <w14:textFill>
            <w14:solidFill>
              <w14:schemeClr w14:val="tx1"/>
            </w14:solidFill>
          </w14:textFill>
        </w:rPr>
        <w:t>。背具、背具带、带扣和气瓶防护套在阻燃性能试验后，不应出现溶融现象，且续燃时间≤5s。</w:t>
      </w:r>
    </w:p>
    <w:p>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9、</w:t>
      </w:r>
      <w:r>
        <w:rPr>
          <w:rFonts w:hint="eastAsia" w:ascii="宋体" w:hAnsi="宋体" w:eastAsia="宋体" w:cs="宋体"/>
          <w:color w:val="000000" w:themeColor="text1"/>
          <w:sz w:val="24"/>
          <w:szCs w:val="24"/>
          <w14:textFill>
            <w14:solidFill>
              <w14:schemeClr w14:val="tx1"/>
            </w14:solidFill>
          </w14:textFill>
        </w:rPr>
        <w:t>电子部分需符合Ex</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i</w:t>
      </w:r>
      <w:r>
        <w:rPr>
          <w:rFonts w:hint="eastAsia" w:ascii="宋体" w:hAnsi="宋体" w:eastAsia="宋体" w:cs="宋体"/>
          <w:color w:val="000000" w:themeColor="text1"/>
          <w:sz w:val="24"/>
          <w:szCs w:val="24"/>
          <w:lang w:val="en-US" w:eastAsia="zh-CN"/>
          <w14:textFill>
            <w14:solidFill>
              <w14:schemeClr w14:val="tx1"/>
            </w14:solidFill>
          </w14:textFill>
        </w:rPr>
        <w:t xml:space="preserve">b Ⅱb </w:t>
      </w:r>
      <w:r>
        <w:rPr>
          <w:rFonts w:hint="eastAsia" w:ascii="宋体" w:hAnsi="宋体" w:eastAsia="宋体" w:cs="宋体"/>
          <w:color w:val="000000" w:themeColor="text1"/>
          <w:sz w:val="24"/>
          <w:szCs w:val="24"/>
          <w14:textFill>
            <w14:solidFill>
              <w14:schemeClr w14:val="tx1"/>
            </w14:solidFill>
          </w14:textFill>
        </w:rPr>
        <w:t>T3</w:t>
      </w:r>
      <w:r>
        <w:rPr>
          <w:rFonts w:hint="eastAsia" w:ascii="宋体" w:hAnsi="宋体" w:eastAsia="宋体" w:cs="宋体"/>
          <w:color w:val="000000" w:themeColor="text1"/>
          <w:sz w:val="24"/>
          <w:szCs w:val="24"/>
          <w:lang w:val="en-US" w:eastAsia="zh-CN"/>
          <w14:textFill>
            <w14:solidFill>
              <w14:schemeClr w14:val="tx1"/>
            </w14:solidFill>
          </w14:textFill>
        </w:rPr>
        <w:t xml:space="preserve"> Gb及</w:t>
      </w:r>
      <w:r>
        <w:rPr>
          <w:rFonts w:hint="eastAsia" w:ascii="宋体" w:hAnsi="宋体" w:eastAsia="宋体" w:cs="宋体"/>
          <w:color w:val="000000" w:themeColor="text1"/>
          <w:sz w:val="24"/>
          <w:szCs w:val="24"/>
          <w14:textFill>
            <w14:solidFill>
              <w14:schemeClr w14:val="tx1"/>
            </w14:solidFill>
          </w14:textFill>
        </w:rPr>
        <w:t>以上防爆认证，并提供防爆合格证</w:t>
      </w:r>
      <w:r>
        <w:rPr>
          <w:rFonts w:hint="eastAsia" w:ascii="宋体" w:hAnsi="宋体" w:eastAsia="宋体" w:cs="宋体"/>
          <w:color w:val="000000" w:themeColor="text1"/>
          <w:sz w:val="24"/>
          <w:szCs w:val="24"/>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bCs/>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10、</w:t>
      </w:r>
      <w:r>
        <w:rPr>
          <w:rFonts w:hint="eastAsia" w:ascii="宋体" w:hAnsi="宋体" w:eastAsia="宋体" w:cs="宋体"/>
          <w:color w:val="000000" w:themeColor="text1"/>
          <w:sz w:val="24"/>
          <w:szCs w:val="24"/>
          <w14:textFill>
            <w14:solidFill>
              <w14:schemeClr w14:val="tx1"/>
            </w14:solidFill>
          </w14:textFill>
        </w:rPr>
        <w:t>整体质量：≤</w:t>
      </w:r>
      <w:r>
        <w:rPr>
          <w:rFonts w:hint="eastAsia" w:ascii="宋体" w:hAnsi="宋体" w:eastAsia="宋体" w:cs="宋体"/>
          <w:color w:val="000000" w:themeColor="text1"/>
          <w:sz w:val="24"/>
          <w:szCs w:val="24"/>
          <w:lang w:val="en-US" w:eastAsia="zh-CN"/>
          <w14:textFill>
            <w14:solidFill>
              <w14:schemeClr w14:val="tx1"/>
            </w14:solidFill>
          </w14:textFill>
        </w:rPr>
        <w:t>20</w:t>
      </w:r>
      <w:r>
        <w:rPr>
          <w:rFonts w:hint="eastAsia" w:ascii="宋体" w:hAnsi="宋体" w:eastAsia="宋体" w:cs="宋体"/>
          <w:color w:val="000000" w:themeColor="text1"/>
          <w:sz w:val="24"/>
          <w:szCs w:val="24"/>
          <w14:textFill>
            <w14:solidFill>
              <w14:schemeClr w14:val="tx1"/>
            </w14:solidFill>
          </w14:textFill>
        </w:rPr>
        <w:t>kg。</w:t>
      </w:r>
    </w:p>
    <w:p>
      <w:pPr>
        <w:keepNext w:val="0"/>
        <w:keepLines w:val="0"/>
        <w:pageBreakBefore w:val="0"/>
        <w:widowControl w:val="0"/>
        <w:numPr>
          <w:ilvl w:val="0"/>
          <w:numId w:val="8"/>
        </w:numPr>
        <w:kinsoku/>
        <w:wordWrap/>
        <w:overflowPunct/>
        <w:topLinePunct w:val="0"/>
        <w:autoSpaceDE/>
        <w:autoSpaceDN/>
        <w:bidi w:val="0"/>
        <w:adjustRightInd/>
        <w:snapToGrid/>
        <w:spacing w:line="240" w:lineRule="auto"/>
        <w:ind w:left="-420" w:leftChars="0" w:firstLine="420" w:firstLineChars="0"/>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氧气呼吸器</w:t>
      </w:r>
      <w:r>
        <w:rPr>
          <w:rFonts w:hint="eastAsia" w:ascii="宋体" w:hAnsi="宋体" w:cs="宋体"/>
          <w:b/>
          <w:bCs/>
          <w:color w:val="000000" w:themeColor="text1"/>
          <w:sz w:val="24"/>
          <w:szCs w:val="24"/>
          <w:lang w:val="en-US" w:eastAsia="zh-CN"/>
          <w14:textFill>
            <w14:solidFill>
              <w14:schemeClr w14:val="tx1"/>
            </w14:solidFill>
          </w14:textFill>
        </w:rPr>
        <w:t xml:space="preserve"> </w:t>
      </w:r>
    </w:p>
    <w:p>
      <w:pPr>
        <w:pStyle w:val="14"/>
        <w:spacing w:line="240" w:lineRule="auto"/>
        <w:rPr>
          <w:rFonts w:hint="default" w:eastAsia="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提供说明书及操作手册</w:t>
      </w:r>
    </w:p>
    <w:p>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1、总体要求：</w:t>
      </w:r>
    </w:p>
    <w:p>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1.1</w:t>
      </w:r>
      <w:r>
        <w:rPr>
          <w:rFonts w:hint="eastAsia" w:ascii="宋体" w:hAnsi="宋体" w:eastAsia="宋体" w:cs="宋体"/>
          <w:color w:val="000000" w:themeColor="text1"/>
          <w:sz w:val="24"/>
          <w:szCs w:val="24"/>
          <w14:textFill>
            <w14:solidFill>
              <w14:schemeClr w14:val="tx1"/>
            </w14:solidFill>
          </w14:textFill>
        </w:rPr>
        <w:t>用于消防员或抢险救护人员在浓烟、有毒有害气体和缺氧等恶劣环境中，长时间从事抢险救援时个人呼吸防护使用</w:t>
      </w:r>
      <w:r>
        <w:rPr>
          <w:rFonts w:hint="eastAsia" w:ascii="宋体" w:hAnsi="宋体" w:eastAsia="宋体" w:cs="宋体"/>
          <w:color w:val="000000" w:themeColor="text1"/>
          <w:sz w:val="24"/>
          <w:szCs w:val="24"/>
          <w:lang w:eastAsia="zh-CN"/>
          <w14:textFill>
            <w14:solidFill>
              <w14:schemeClr w14:val="tx1"/>
            </w14:solidFill>
          </w14:textFill>
        </w:rPr>
        <w:t>。</w:t>
      </w:r>
    </w:p>
    <w:p>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ascii="宋体" w:hAnsi="宋体" w:eastAsia="宋体"/>
          <w:b/>
          <w:bCs/>
          <w:color w:val="000000" w:themeColor="text1"/>
          <w:sz w:val="24"/>
          <w:szCs w:val="24"/>
          <w14:textFill>
            <w14:solidFill>
              <w14:schemeClr w14:val="tx1"/>
            </w14:solidFill>
          </w14:textFill>
        </w:rPr>
        <w:t>*</w:t>
      </w:r>
      <w:r>
        <w:rPr>
          <w:rFonts w:hint="eastAsia" w:ascii="宋体" w:hAnsi="宋体" w:eastAsia="宋体" w:cs="宋体"/>
          <w:b/>
          <w:bCs/>
          <w:color w:val="000000" w:themeColor="text1"/>
          <w:sz w:val="24"/>
          <w:szCs w:val="24"/>
          <w:lang w:val="en-US" w:eastAsia="zh-CN"/>
          <w14:textFill>
            <w14:solidFill>
              <w14:schemeClr w14:val="tx1"/>
            </w14:solidFill>
          </w14:textFill>
        </w:rPr>
        <w:t>1.2性能符合</w:t>
      </w:r>
      <w:r>
        <w:rPr>
          <w:rFonts w:hint="eastAsia" w:ascii="宋体" w:hAnsi="宋体" w:eastAsia="宋体" w:cs="宋体"/>
          <w:b/>
          <w:bCs/>
          <w:color w:val="000000" w:themeColor="text1"/>
          <w:sz w:val="24"/>
          <w:szCs w:val="24"/>
          <w14:textFill>
            <w14:solidFill>
              <w14:schemeClr w14:val="tx1"/>
            </w14:solidFill>
          </w14:textFill>
        </w:rPr>
        <w:t>XF632-2006《正压式消防氧气呼吸器》标准。</w:t>
      </w:r>
    </w:p>
    <w:p>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性能要求：</w:t>
      </w:r>
    </w:p>
    <w:p>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2.1</w:t>
      </w:r>
      <w:r>
        <w:rPr>
          <w:rFonts w:hint="eastAsia" w:ascii="宋体" w:hAnsi="宋体" w:eastAsia="宋体" w:cs="宋体"/>
          <w:color w:val="000000" w:themeColor="text1"/>
          <w:sz w:val="24"/>
          <w:szCs w:val="24"/>
          <w14:textFill>
            <w14:solidFill>
              <w14:schemeClr w14:val="tx1"/>
            </w14:solidFill>
          </w14:textFill>
        </w:rPr>
        <w:t>闭路式呼吸供气系统</w:t>
      </w:r>
      <w:r>
        <w:rPr>
          <w:rFonts w:hint="eastAsia" w:ascii="宋体" w:hAnsi="宋体" w:eastAsia="宋体" w:cs="宋体"/>
          <w:color w:val="000000" w:themeColor="text1"/>
          <w:sz w:val="24"/>
          <w:szCs w:val="24"/>
          <w:lang w:val="en-US" w:eastAsia="zh-CN"/>
          <w14:textFill>
            <w14:solidFill>
              <w14:schemeClr w14:val="tx1"/>
            </w14:solidFill>
          </w14:textFill>
        </w:rPr>
        <w:t>组成：</w:t>
      </w:r>
      <w:r>
        <w:rPr>
          <w:rFonts w:hint="eastAsia" w:ascii="宋体" w:hAnsi="宋体" w:eastAsia="宋体" w:cs="宋体"/>
          <w:color w:val="000000" w:themeColor="text1"/>
          <w:sz w:val="24"/>
          <w:szCs w:val="24"/>
          <w14:textFill>
            <w14:solidFill>
              <w14:schemeClr w14:val="tx1"/>
            </w14:solidFill>
          </w14:textFill>
        </w:rPr>
        <w:t>由背带及外壳、呼吸软管及排水阀、高压氧气瓶、减压装置、CO2清净罐、高效冷却器、呼吸气囊、智能电子压力表及报警器、大视野面罩等组成。</w:t>
      </w:r>
    </w:p>
    <w:p>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2.2</w:t>
      </w:r>
      <w:r>
        <w:rPr>
          <w:rFonts w:hint="eastAsia" w:ascii="宋体" w:hAnsi="宋体" w:eastAsia="宋体" w:cs="宋体"/>
          <w:color w:val="000000" w:themeColor="text1"/>
          <w:sz w:val="24"/>
          <w:szCs w:val="24"/>
          <w14:textFill>
            <w14:solidFill>
              <w14:schemeClr w14:val="tx1"/>
            </w14:solidFill>
          </w14:textFill>
        </w:rPr>
        <w:t>产品着装带、带扣、外壳、面罩、呼吸软管阻燃性能试验后，不应出熔融现象，续燃时间＜5s。</w:t>
      </w:r>
    </w:p>
    <w:p>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bCs/>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2.3</w:t>
      </w:r>
      <w:r>
        <w:rPr>
          <w:rFonts w:hint="eastAsia" w:ascii="宋体" w:hAnsi="宋体" w:eastAsia="宋体" w:cs="宋体"/>
          <w:color w:val="000000" w:themeColor="text1"/>
          <w:sz w:val="24"/>
          <w:szCs w:val="24"/>
          <w14:textFill>
            <w14:solidFill>
              <w14:schemeClr w14:val="tx1"/>
            </w14:solidFill>
          </w14:textFill>
        </w:rPr>
        <w:t>呼吸器定量供氧量≥1.</w:t>
      </w:r>
      <w:r>
        <w:rPr>
          <w:rFonts w:hint="eastAsia" w:ascii="宋体" w:hAnsi="宋体" w:eastAsia="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L/min，自动补给阀供气量≥10</w:t>
      </w:r>
      <w:r>
        <w:rPr>
          <w:rFonts w:hint="eastAsia" w:ascii="宋体" w:hAnsi="宋体" w:eastAsia="宋体" w:cs="宋体"/>
          <w:color w:val="000000" w:themeColor="text1"/>
          <w:sz w:val="24"/>
          <w:szCs w:val="24"/>
          <w:lang w:val="en-US" w:eastAsia="zh-CN"/>
          <w14:textFill>
            <w14:solidFill>
              <w14:schemeClr w14:val="tx1"/>
            </w14:solidFill>
          </w14:textFill>
        </w:rPr>
        <w:t>0</w:t>
      </w:r>
      <w:r>
        <w:rPr>
          <w:rFonts w:hint="eastAsia" w:ascii="宋体" w:hAnsi="宋体" w:eastAsia="宋体" w:cs="宋体"/>
          <w:color w:val="000000" w:themeColor="text1"/>
          <w:sz w:val="24"/>
          <w:szCs w:val="24"/>
          <w14:textFill>
            <w14:solidFill>
              <w14:schemeClr w14:val="tx1"/>
            </w14:solidFill>
          </w14:textFill>
        </w:rPr>
        <w:t>L/min，手动补给阀供气量≥10</w:t>
      </w:r>
      <w:r>
        <w:rPr>
          <w:rFonts w:hint="eastAsia" w:ascii="宋体" w:hAnsi="宋体" w:eastAsia="宋体" w:cs="宋体"/>
          <w:color w:val="000000" w:themeColor="text1"/>
          <w:sz w:val="24"/>
          <w:szCs w:val="24"/>
          <w:lang w:val="en-US" w:eastAsia="zh-CN"/>
          <w14:textFill>
            <w14:solidFill>
              <w14:schemeClr w14:val="tx1"/>
            </w14:solidFill>
          </w14:textFill>
        </w:rPr>
        <w:t>0</w:t>
      </w:r>
      <w:r>
        <w:rPr>
          <w:rFonts w:hint="eastAsia" w:ascii="宋体" w:hAnsi="宋体" w:eastAsia="宋体" w:cs="宋体"/>
          <w:color w:val="000000" w:themeColor="text1"/>
          <w:sz w:val="24"/>
          <w:szCs w:val="24"/>
          <w14:textFill>
            <w14:solidFill>
              <w14:schemeClr w14:val="tx1"/>
            </w14:solidFill>
          </w14:textFill>
        </w:rPr>
        <w:t>L/min，气囊容积≥5L。</w:t>
      </w:r>
    </w:p>
    <w:p>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ascii="宋体" w:hAnsi="宋体" w:eastAsia="宋体"/>
          <w:b/>
          <w:bCs/>
          <w:color w:val="000000" w:themeColor="text1"/>
          <w:sz w:val="24"/>
          <w:szCs w:val="24"/>
          <w14:textFill>
            <w14:solidFill>
              <w14:schemeClr w14:val="tx1"/>
            </w14:solidFill>
          </w14:textFill>
        </w:rPr>
        <w:t>*</w:t>
      </w:r>
      <w:r>
        <w:rPr>
          <w:rFonts w:hint="eastAsia" w:ascii="宋体" w:hAnsi="宋体" w:eastAsia="宋体" w:cs="宋体"/>
          <w:b/>
          <w:bCs/>
          <w:color w:val="000000" w:themeColor="text1"/>
          <w:sz w:val="24"/>
          <w:szCs w:val="24"/>
          <w:lang w:val="en-US" w:eastAsia="zh-CN"/>
          <w14:textFill>
            <w14:solidFill>
              <w14:schemeClr w14:val="tx1"/>
            </w14:solidFill>
          </w14:textFill>
        </w:rPr>
        <w:t>2.4</w:t>
      </w:r>
      <w:r>
        <w:rPr>
          <w:rFonts w:hint="eastAsia" w:ascii="宋体" w:hAnsi="宋体" w:eastAsia="宋体" w:cs="宋体"/>
          <w:b/>
          <w:bCs/>
          <w:color w:val="000000" w:themeColor="text1"/>
          <w:sz w:val="24"/>
          <w:szCs w:val="24"/>
          <w14:textFill>
            <w14:solidFill>
              <w14:schemeClr w14:val="tx1"/>
            </w14:solidFill>
          </w14:textFill>
        </w:rPr>
        <w:t>呼吸器额定防护时间≥120min；配备容积≤1.5L的碳纤维高压氧气瓶；工作压力20Mpa。</w:t>
      </w:r>
    </w:p>
    <w:p>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2.5</w:t>
      </w:r>
      <w:r>
        <w:rPr>
          <w:rFonts w:hint="eastAsia" w:ascii="宋体" w:hAnsi="宋体" w:eastAsia="宋体" w:cs="宋体"/>
          <w:color w:val="000000" w:themeColor="text1"/>
          <w:sz w:val="24"/>
          <w:szCs w:val="24"/>
          <w14:textFill>
            <w14:solidFill>
              <w14:schemeClr w14:val="tx1"/>
            </w14:solidFill>
          </w14:textFill>
        </w:rPr>
        <w:t>呼吸器应采用氢氧化钙一体化设计，整填整取，氢氧化钙充填量≥1kg。</w:t>
      </w:r>
    </w:p>
    <w:p>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2.6</w:t>
      </w:r>
      <w:r>
        <w:rPr>
          <w:rFonts w:hint="eastAsia" w:ascii="宋体" w:hAnsi="宋体" w:eastAsia="宋体" w:cs="宋体"/>
          <w:color w:val="000000" w:themeColor="text1"/>
          <w:sz w:val="24"/>
          <w:szCs w:val="24"/>
          <w14:textFill>
            <w14:solidFill>
              <w14:schemeClr w14:val="tx1"/>
            </w14:solidFill>
          </w14:textFill>
        </w:rPr>
        <w:t>额定防护时间内防护性能要求：吸气中O2浓度≥2</w:t>
      </w:r>
      <w:r>
        <w:rPr>
          <w:rFonts w:hint="eastAsia" w:ascii="宋体" w:hAnsi="宋体" w:eastAsia="宋体" w:cs="宋体"/>
          <w:color w:val="000000" w:themeColor="text1"/>
          <w:sz w:val="24"/>
          <w:szCs w:val="24"/>
          <w:lang w:val="en-US" w:eastAsia="zh-CN"/>
          <w14:textFill>
            <w14:solidFill>
              <w14:schemeClr w14:val="tx1"/>
            </w14:solidFill>
          </w14:textFill>
        </w:rPr>
        <w:t>0</w:t>
      </w:r>
      <w:r>
        <w:rPr>
          <w:rFonts w:hint="eastAsia" w:ascii="宋体" w:hAnsi="宋体" w:eastAsia="宋体" w:cs="宋体"/>
          <w:color w:val="000000" w:themeColor="text1"/>
          <w:sz w:val="24"/>
          <w:szCs w:val="24"/>
          <w14:textFill>
            <w14:solidFill>
              <w14:schemeClr w14:val="tx1"/>
            </w14:solidFill>
          </w14:textFill>
        </w:rPr>
        <w:t>%，吸气中CO2浓度≤2%，吸气温度≤32℃，呼气阻力≤600Pa，吸气阻力≤400Pa；</w:t>
      </w:r>
    </w:p>
    <w:p>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2.7</w:t>
      </w:r>
      <w:r>
        <w:rPr>
          <w:rFonts w:hint="eastAsia" w:ascii="宋体" w:hAnsi="宋体" w:eastAsia="宋体" w:cs="宋体"/>
          <w:color w:val="000000" w:themeColor="text1"/>
          <w:sz w:val="24"/>
          <w:szCs w:val="24"/>
          <w14:textFill>
            <w14:solidFill>
              <w14:schemeClr w14:val="tx1"/>
            </w14:solidFill>
          </w14:textFill>
        </w:rPr>
        <w:t>呼吸器耐温性能测试：吸气中O2浓度≥21%，吸气中CO2浓度≤1%，吸气温度≤32℃，呼气阻力≤600Pa，吸气阻力≤400Pa；高压系统气密性要求应在30min内不漏气；低压系统气密性在1min内压力下降值≤30Pa。</w:t>
      </w:r>
    </w:p>
    <w:p>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b/>
          <w:bCs/>
          <w:color w:val="000000" w:themeColor="text1"/>
          <w:sz w:val="24"/>
          <w:szCs w:val="24"/>
          <w14:textFill>
            <w14:solidFill>
              <w14:schemeClr w14:val="tx1"/>
            </w14:solidFill>
          </w14:textFill>
        </w:rPr>
      </w:pPr>
      <w:r>
        <w:rPr>
          <w:rFonts w:ascii="宋体" w:hAnsi="宋体" w:eastAsia="宋体"/>
          <w:b/>
          <w:bCs/>
          <w:color w:val="000000" w:themeColor="text1"/>
          <w:sz w:val="24"/>
          <w:szCs w:val="24"/>
          <w14:textFill>
            <w14:solidFill>
              <w14:schemeClr w14:val="tx1"/>
            </w14:solidFill>
          </w14:textFill>
        </w:rPr>
        <w:t>*</w:t>
      </w:r>
      <w:r>
        <w:rPr>
          <w:rFonts w:hint="eastAsia" w:ascii="宋体" w:hAnsi="宋体" w:eastAsia="宋体" w:cs="宋体"/>
          <w:b/>
          <w:bCs/>
          <w:color w:val="000000" w:themeColor="text1"/>
          <w:sz w:val="24"/>
          <w:szCs w:val="24"/>
          <w:lang w:val="en-US" w:eastAsia="zh-CN"/>
          <w14:textFill>
            <w14:solidFill>
              <w14:schemeClr w14:val="tx1"/>
            </w14:solidFill>
          </w14:textFill>
        </w:rPr>
        <w:t>2.8呼吸器的冷却系统使用高效相变潜热材料制成，在室温下即可重新发挥冷却降温作用，不需要使用冰箱进行预先冷却，可循环使用；相变冷却材料应经过国家认可的第三方机构检测</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，相变潜热值≥200J/g</w:t>
      </w:r>
      <w:r>
        <w:rPr>
          <w:rFonts w:hint="eastAsia" w:ascii="宋体" w:hAnsi="宋体" w:eastAsia="宋体" w:cs="宋体"/>
          <w:b/>
          <w:bCs/>
          <w:color w:val="000000" w:themeColor="text1"/>
          <w:sz w:val="24"/>
          <w:szCs w:val="24"/>
          <w14:textFill>
            <w14:solidFill>
              <w14:schemeClr w14:val="tx1"/>
            </w14:solidFill>
          </w14:textFill>
        </w:rPr>
        <w:t>。</w:t>
      </w:r>
    </w:p>
    <w:p>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2.9</w:t>
      </w:r>
      <w:r>
        <w:rPr>
          <w:rFonts w:hint="eastAsia" w:ascii="宋体" w:hAnsi="宋体" w:eastAsia="宋体" w:cs="宋体"/>
          <w:color w:val="000000" w:themeColor="text1"/>
          <w:sz w:val="24"/>
          <w:szCs w:val="24"/>
          <w14:textFill>
            <w14:solidFill>
              <w14:schemeClr w14:val="tx1"/>
            </w14:solidFill>
          </w14:textFill>
        </w:rPr>
        <w:t>呼吸器应采用智能数显电子表与机械指针式压力表一体化设计，应可同步显示气瓶压力；压力表及报警器在开启、关闭及余压为（5.5±0.5）MPa时应可发出警示声响，声响≥90dB；机械压力表应带夜视功能，智能数显电子报警系统应采用声光报警，应具有显示气瓶压力、外界环境温度、电池电量检测、静止（跌倒）报警和主动呼救功能。</w:t>
      </w:r>
    </w:p>
    <w:p>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bCs/>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2.10</w:t>
      </w:r>
      <w:r>
        <w:rPr>
          <w:rFonts w:hint="eastAsia" w:ascii="宋体" w:hAnsi="宋体" w:eastAsia="宋体" w:cs="宋体"/>
          <w:color w:val="000000" w:themeColor="text1"/>
          <w:sz w:val="24"/>
          <w:szCs w:val="24"/>
          <w14:textFill>
            <w14:solidFill>
              <w14:schemeClr w14:val="tx1"/>
            </w14:solidFill>
          </w14:textFill>
        </w:rPr>
        <w:t>呼吸面罩密封胶体由优质阻燃硅橡胶制造；面罩材料应经过特殊防雾、耐磨处理，可长时间使用不上雾；面罩总视野≥8</w:t>
      </w:r>
      <w:r>
        <w:rPr>
          <w:rFonts w:hint="eastAsia" w:ascii="宋体" w:hAnsi="宋体" w:eastAsia="宋体" w:cs="宋体"/>
          <w:color w:val="000000" w:themeColor="text1"/>
          <w:sz w:val="24"/>
          <w:szCs w:val="24"/>
          <w:lang w:val="en-US" w:eastAsia="zh-CN"/>
          <w14:textFill>
            <w14:solidFill>
              <w14:schemeClr w14:val="tx1"/>
            </w14:solidFill>
          </w14:textFill>
        </w:rPr>
        <w:t>0</w:t>
      </w:r>
      <w:r>
        <w:rPr>
          <w:rFonts w:hint="eastAsia" w:ascii="宋体" w:hAnsi="宋体" w:eastAsia="宋体" w:cs="宋体"/>
          <w:color w:val="000000" w:themeColor="text1"/>
          <w:sz w:val="24"/>
          <w:szCs w:val="24"/>
          <w14:textFill>
            <w14:solidFill>
              <w14:schemeClr w14:val="tx1"/>
            </w14:solidFill>
          </w14:textFill>
        </w:rPr>
        <w:t>%，双目视野≥70%，下方视野＞3</w:t>
      </w:r>
      <w:bookmarkStart w:id="216" w:name="_GoBack"/>
      <w:bookmarkEnd w:id="216"/>
      <w:r>
        <w:rPr>
          <w:rFonts w:hint="eastAsia" w:ascii="宋体" w:hAnsi="宋体" w:eastAsia="宋体" w:cs="宋体"/>
          <w:color w:val="000000" w:themeColor="text1"/>
          <w:sz w:val="24"/>
          <w:szCs w:val="24"/>
          <w14:textFill>
            <w14:solidFill>
              <w14:schemeClr w14:val="tx1"/>
            </w14:solidFill>
          </w14:textFill>
        </w:rPr>
        <w:t>5°。</w:t>
      </w:r>
    </w:p>
    <w:p>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bCs/>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2.11</w:t>
      </w:r>
      <w:r>
        <w:rPr>
          <w:rFonts w:hint="eastAsia" w:ascii="宋体" w:hAnsi="宋体" w:eastAsia="宋体" w:cs="宋体"/>
          <w:color w:val="000000" w:themeColor="text1"/>
          <w:sz w:val="24"/>
          <w:szCs w:val="24"/>
          <w14:textFill>
            <w14:solidFill>
              <w14:schemeClr w14:val="tx1"/>
            </w14:solidFill>
          </w14:textFill>
        </w:rPr>
        <w:t>呼吸器外壳应采用碳纤维复合材料，整机重量≤10kg。</w:t>
      </w:r>
    </w:p>
    <w:p>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其他要求：</w:t>
      </w:r>
    </w:p>
    <w:p>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14:textFill>
            <w14:solidFill>
              <w14:schemeClr w14:val="tx1"/>
            </w14:solidFill>
          </w14:textFill>
        </w:rPr>
        <w:t>供货时，须提供中文使用说明书、品牌、生产厂家详细地址、联络方式及代理商的详细地址和售后服务联络方式。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color w:val="FF0000"/>
          <w:sz w:val="24"/>
          <w:szCs w:val="24"/>
        </w:rPr>
      </w:pPr>
      <w:r>
        <w:rPr>
          <w:rFonts w:hint="eastAsia" w:asciiTheme="minorEastAsia" w:hAnsiTheme="minorEastAsia" w:eastAsiaTheme="minorEastAsia" w:cstheme="minorEastAsia"/>
          <w:b w:val="0"/>
          <w:bCs/>
          <w:color w:val="auto"/>
          <w:sz w:val="24"/>
          <w:szCs w:val="24"/>
        </w:rPr>
        <w:t>★</w:t>
      </w:r>
      <w:r>
        <w:rPr>
          <w:rFonts w:hint="eastAsia" w:ascii="宋体" w:hAnsi="宋体" w:eastAsia="宋体" w:cs="宋体"/>
          <w:color w:val="auto"/>
          <w:sz w:val="24"/>
          <w:szCs w:val="24"/>
          <w:lang w:val="en-US" w:eastAsia="zh-CN"/>
        </w:rPr>
        <w:t>3.</w:t>
      </w: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具有</w:t>
      </w:r>
      <w:r>
        <w:rPr>
          <w:rFonts w:hint="eastAsia" w:ascii="宋体" w:hAnsi="宋体" w:eastAsia="宋体" w:cs="宋体"/>
          <w:color w:val="auto"/>
          <w:sz w:val="24"/>
          <w:szCs w:val="24"/>
        </w:rPr>
        <w:t>国家消防装备质量监督检验中心出具的检测报告</w:t>
      </w:r>
      <w:r>
        <w:rPr>
          <w:rFonts w:hint="eastAsia" w:ascii="宋体" w:hAnsi="宋体" w:cs="宋体"/>
          <w:color w:val="auto"/>
          <w:sz w:val="24"/>
          <w:szCs w:val="24"/>
          <w:highlight w:val="none"/>
          <w:lang w:val="en-US" w:eastAsia="zh-CN"/>
        </w:rPr>
        <w:t>或</w:t>
      </w:r>
      <w:r>
        <w:rPr>
          <w:rFonts w:hint="eastAsia" w:ascii="宋体" w:hAnsi="宋体" w:eastAsia="宋体" w:cs="宋体"/>
          <w:color w:val="auto"/>
          <w:sz w:val="24"/>
          <w:szCs w:val="24"/>
          <w:lang w:val="en-US" w:eastAsia="zh-CN"/>
        </w:rPr>
        <w:t>应急管理部消防产品合格评定中心出具的消防产品认证证书</w:t>
      </w:r>
      <w:r>
        <w:rPr>
          <w:rFonts w:hint="eastAsia" w:ascii="宋体" w:hAnsi="宋体" w:eastAsia="宋体" w:cs="宋体"/>
          <w:color w:val="auto"/>
          <w:sz w:val="24"/>
          <w:szCs w:val="24"/>
        </w:rPr>
        <w:t>。</w:t>
      </w:r>
    </w:p>
    <w:p>
      <w:pPr>
        <w:pStyle w:val="29"/>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w:t>
      </w:r>
    </w:p>
    <w:p>
      <w:pPr>
        <w:pStyle w:val="30"/>
        <w:spacing w:line="360" w:lineRule="auto"/>
        <w:rPr>
          <w:rFonts w:hint="eastAsia" w:ascii="宋体" w:hAnsi="宋体"/>
          <w:b/>
          <w:bCs/>
          <w:color w:val="auto"/>
          <w:sz w:val="24"/>
          <w:highlight w:val="none"/>
        </w:rPr>
      </w:pPr>
    </w:p>
    <w:p>
      <w:pPr>
        <w:pStyle w:val="30"/>
        <w:spacing w:line="360" w:lineRule="auto"/>
        <w:rPr>
          <w:rFonts w:hint="eastAsia" w:ascii="宋体" w:hAnsi="宋体"/>
          <w:b/>
          <w:bCs/>
          <w:color w:val="auto"/>
          <w:sz w:val="24"/>
          <w:highlight w:val="none"/>
        </w:rPr>
      </w:pPr>
    </w:p>
    <w:p>
      <w:pPr>
        <w:pStyle w:val="30"/>
        <w:spacing w:line="360" w:lineRule="auto"/>
        <w:rPr>
          <w:rFonts w:ascii="宋体"/>
          <w:b/>
          <w:bCs/>
          <w:color w:val="auto"/>
          <w:sz w:val="24"/>
          <w:highlight w:val="none"/>
        </w:rPr>
      </w:pPr>
      <w:r>
        <w:rPr>
          <w:rFonts w:hint="eastAsia" w:ascii="宋体" w:hAnsi="宋体"/>
          <w:b/>
          <w:bCs/>
          <w:color w:val="auto"/>
          <w:sz w:val="24"/>
          <w:highlight w:val="none"/>
        </w:rPr>
        <w:t>注：</w:t>
      </w:r>
    </w:p>
    <w:p>
      <w:pPr>
        <w:pStyle w:val="30"/>
        <w:numPr>
          <w:ilvl w:val="0"/>
          <w:numId w:val="9"/>
        </w:numPr>
        <w:spacing w:line="360" w:lineRule="auto"/>
        <w:ind w:firstLine="482" w:firstLineChars="200"/>
        <w:rPr>
          <w:rFonts w:hint="eastAsia" w:ascii="宋体" w:hAnsi="宋体" w:cs="宋体"/>
          <w:b/>
          <w:bCs/>
          <w:kern w:val="0"/>
          <w:sz w:val="24"/>
        </w:rPr>
      </w:pPr>
      <w:r>
        <w:rPr>
          <w:rFonts w:hint="eastAsia" w:ascii="宋体" w:hAnsi="宋体" w:cs="宋体"/>
          <w:b/>
          <w:bCs/>
          <w:kern w:val="0"/>
          <w:sz w:val="24"/>
        </w:rPr>
        <w:t>为了保证项目质量，本项目以上参数中加注</w:t>
      </w:r>
      <w:r>
        <w:rPr>
          <w:rFonts w:ascii="宋体" w:hAnsi="宋体" w:cs="宋体"/>
          <w:b/>
          <w:bCs/>
          <w:kern w:val="0"/>
          <w:sz w:val="24"/>
        </w:rPr>
        <w:t>*</w:t>
      </w:r>
      <w:r>
        <w:rPr>
          <w:rFonts w:hint="eastAsia" w:ascii="宋体" w:hAnsi="宋体" w:cs="宋体"/>
          <w:b/>
          <w:bCs/>
          <w:kern w:val="0"/>
          <w:sz w:val="24"/>
        </w:rPr>
        <w:t>的主要条款均为实质性参数，供应商应全部满足，否则投标文件将被视为非响应性文件而被拒绝。</w:t>
      </w:r>
    </w:p>
    <w:p>
      <w:pPr>
        <w:pStyle w:val="14"/>
        <w:numPr>
          <w:ilvl w:val="0"/>
          <w:numId w:val="0"/>
        </w:numPr>
        <w:spacing w:line="360" w:lineRule="auto"/>
        <w:ind w:firstLine="482" w:firstLineChars="200"/>
        <w:rPr>
          <w:rFonts w:hint="eastAsia"/>
        </w:rPr>
        <w:sectPr>
          <w:footerReference r:id="rId7" w:type="default"/>
          <w:pgSz w:w="11906" w:h="16838"/>
          <w:pgMar w:top="1361" w:right="1304" w:bottom="1247" w:left="1304" w:header="680" w:footer="680" w:gutter="0"/>
          <w:cols w:space="720" w:num="1"/>
          <w:docGrid w:linePitch="312" w:charSpace="0"/>
        </w:sectPr>
      </w:pPr>
      <w:r>
        <w:rPr>
          <w:rFonts w:hint="eastAsia" w:ascii="宋体" w:hAnsi="宋体" w:eastAsia="宋体" w:cs="宋体"/>
          <w:b/>
          <w:bCs/>
          <w:kern w:val="0"/>
          <w:sz w:val="24"/>
          <w:szCs w:val="22"/>
          <w:lang w:val="en-US" w:eastAsia="zh-CN" w:bidi="ar-SA"/>
        </w:rPr>
        <w:t>2.投标人需提供全部产品的外观三视图，三视图须为产品实物拍摄彩色图片（体现出品牌和型号），不得使用设计图或效果图。</w:t>
      </w:r>
      <w:r>
        <w:rPr>
          <w:rFonts w:hint="eastAsia" w:ascii="宋体" w:hAnsi="宋体" w:cs="宋体"/>
          <w:b/>
          <w:bCs/>
          <w:kern w:val="0"/>
          <w:sz w:val="24"/>
          <w:szCs w:val="22"/>
          <w:lang w:val="en-US" w:eastAsia="zh-CN" w:bidi="ar-SA"/>
        </w:rPr>
        <w:t>提供与所投产品相同型号的最新的（包含但不限于）技术彩页、主要技术指标、参数及性能的详细说明书等技术资料；</w:t>
      </w:r>
      <w:r>
        <w:rPr>
          <w:rFonts w:hint="eastAsia" w:ascii="宋体" w:hAnsi="宋体" w:eastAsia="宋体" w:cs="宋体"/>
          <w:b/>
          <w:bCs/>
          <w:color w:val="auto"/>
          <w:sz w:val="24"/>
          <w:highlight w:val="none"/>
        </w:rPr>
        <w:t>所有*和★</w:t>
      </w:r>
      <w:r>
        <w:rPr>
          <w:rFonts w:hint="eastAsia" w:ascii="宋体" w:hAnsi="宋体" w:cs="宋体"/>
          <w:b/>
          <w:bCs/>
          <w:color w:val="auto"/>
          <w:sz w:val="24"/>
          <w:highlight w:val="none"/>
          <w:lang w:eastAsia="zh-CN"/>
        </w:rPr>
        <w:t>、▲</w:t>
      </w:r>
      <w:r>
        <w:rPr>
          <w:rFonts w:hint="eastAsia" w:ascii="宋体" w:hAnsi="宋体" w:eastAsia="宋体" w:cs="宋体"/>
          <w:b/>
          <w:bCs/>
          <w:color w:val="auto"/>
          <w:sz w:val="24"/>
          <w:highlight w:val="none"/>
        </w:rPr>
        <w:t>的技术参数，需提供佐证材料，有检</w:t>
      </w:r>
      <w:r>
        <w:rPr>
          <w:rFonts w:hint="eastAsia" w:ascii="宋体" w:hAnsi="宋体" w:cs="宋体"/>
          <w:b/>
          <w:bCs/>
          <w:kern w:val="0"/>
          <w:sz w:val="24"/>
          <w:szCs w:val="22"/>
          <w:lang w:val="en-US" w:eastAsia="zh-CN" w:bidi="ar-SA"/>
        </w:rPr>
        <w:t>测报告的应提供检测报告；无检测报告的，应提供产品说明的官方截图；无前两项的，可提供经发行的市场产品宣传册等相关佐证材料。*和★的技术参数未提供佐证材料的，评审不予认可。</w:t>
      </w:r>
    </w:p>
    <w:p>
      <w:pPr>
        <w:pStyle w:val="3"/>
        <w:bidi w:val="0"/>
        <w:jc w:val="center"/>
        <w:rPr>
          <w:rFonts w:ascii="仿宋_GB2312" w:hAnsi="宋体" w:eastAsia="仿宋_GB2312"/>
          <w:color w:val="auto"/>
          <w:sz w:val="24"/>
          <w:highlight w:val="none"/>
        </w:rPr>
      </w:pPr>
      <w:bookmarkStart w:id="90" w:name="_Toc5166"/>
      <w:r>
        <w:rPr>
          <w:rFonts w:hint="eastAsia"/>
          <w:color w:val="auto"/>
          <w:highlight w:val="none"/>
        </w:rPr>
        <w:t>第六章</w:t>
      </w:r>
      <w:r>
        <w:rPr>
          <w:rFonts w:hint="eastAsia"/>
          <w:color w:val="auto"/>
          <w:highlight w:val="none"/>
          <w:lang w:val="en-US" w:eastAsia="zh-CN"/>
        </w:rPr>
        <w:t xml:space="preserve"> </w:t>
      </w:r>
      <w:r>
        <w:rPr>
          <w:rFonts w:hint="eastAsia"/>
          <w:color w:val="auto"/>
          <w:highlight w:val="none"/>
        </w:rPr>
        <w:t>投标文件构成及格式</w:t>
      </w:r>
      <w:bookmarkEnd w:id="90"/>
    </w:p>
    <w:p>
      <w:pPr>
        <w:pStyle w:val="12"/>
        <w:spacing w:line="360" w:lineRule="auto"/>
        <w:outlineLvl w:val="0"/>
        <w:rPr>
          <w:rFonts w:ascii="宋体" w:hAnsi="宋体" w:cs="宋体"/>
          <w:bCs/>
          <w:color w:val="auto"/>
          <w:szCs w:val="24"/>
          <w:highlight w:val="none"/>
        </w:rPr>
      </w:pPr>
      <w:bookmarkStart w:id="91" w:name="_Toc10337"/>
      <w:bookmarkStart w:id="92" w:name="_Toc17712"/>
      <w:r>
        <w:rPr>
          <w:rFonts w:hint="eastAsia" w:ascii="宋体" w:hAnsi="宋体" w:cs="宋体"/>
          <w:bCs/>
          <w:color w:val="auto"/>
          <w:szCs w:val="24"/>
          <w:highlight w:val="none"/>
        </w:rPr>
        <w:t>采购人特别声明：</w:t>
      </w:r>
      <w:bookmarkEnd w:id="91"/>
      <w:bookmarkEnd w:id="92"/>
    </w:p>
    <w:p>
      <w:pPr>
        <w:pStyle w:val="33"/>
        <w:ind w:firstLine="480"/>
        <w:rPr>
          <w:rFonts w:ascii="宋体" w:hAnsi="宋体" w:cs="宋体"/>
          <w:color w:val="auto"/>
          <w:sz w:val="24"/>
          <w:highlight w:val="none"/>
        </w:rPr>
      </w:pPr>
      <w:r>
        <w:rPr>
          <w:rFonts w:hint="eastAsia" w:ascii="宋体" w:hAnsi="宋体" w:cs="宋体"/>
          <w:color w:val="auto"/>
          <w:sz w:val="24"/>
          <w:highlight w:val="none"/>
        </w:rPr>
        <w:t>投标人应提交本“投标文件格式”所列举和要求的全部投标文件，并且所提交的投标文件都是真实有效的，否则，将是投标人的风险。</w:t>
      </w:r>
    </w:p>
    <w:p>
      <w:pPr>
        <w:spacing w:line="360" w:lineRule="auto"/>
        <w:rPr>
          <w:rFonts w:ascii="宋体" w:hAnsi="宋体" w:cs="宋体"/>
          <w:b/>
          <w:color w:val="auto"/>
          <w:sz w:val="24"/>
          <w:szCs w:val="28"/>
          <w:highlight w:val="none"/>
        </w:rPr>
      </w:pPr>
      <w:r>
        <w:rPr>
          <w:rFonts w:hint="eastAsia" w:ascii="宋体" w:hAnsi="宋体" w:cs="宋体"/>
          <w:b/>
          <w:color w:val="auto"/>
          <w:sz w:val="24"/>
          <w:szCs w:val="28"/>
          <w:highlight w:val="none"/>
        </w:rPr>
        <w:t>格式一</w:t>
      </w:r>
    </w:p>
    <w:p>
      <w:pPr>
        <w:spacing w:line="360" w:lineRule="auto"/>
        <w:jc w:val="center"/>
        <w:rPr>
          <w:rFonts w:ascii="宋体" w:hAnsi="宋体" w:cs="宋体"/>
          <w:b/>
          <w:color w:val="auto"/>
          <w:sz w:val="24"/>
          <w:szCs w:val="28"/>
          <w:highlight w:val="none"/>
        </w:rPr>
      </w:pPr>
      <w:r>
        <w:rPr>
          <w:rFonts w:hint="eastAsia" w:ascii="宋体" w:hAnsi="宋体" w:cs="宋体"/>
          <w:b/>
          <w:bCs/>
          <w:color w:val="auto"/>
          <w:sz w:val="24"/>
          <w:szCs w:val="28"/>
          <w:highlight w:val="none"/>
        </w:rPr>
        <w:t>开标一览表（格式）</w:t>
      </w:r>
    </w:p>
    <w:p>
      <w:pPr>
        <w:spacing w:line="36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项目名称：</w:t>
      </w:r>
    </w:p>
    <w:p>
      <w:pPr>
        <w:spacing w:line="36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项目编号：</w:t>
      </w:r>
    </w:p>
    <w:p>
      <w:pPr>
        <w:spacing w:line="36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投标人名称（加盖公章）：</w:t>
      </w:r>
    </w:p>
    <w:p>
      <w:pPr>
        <w:spacing w:line="36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单位负责人或授权代理人（签字）：</w:t>
      </w:r>
    </w:p>
    <w:p>
      <w:pPr>
        <w:spacing w:line="360" w:lineRule="auto"/>
        <w:rPr>
          <w:rFonts w:ascii="宋体" w:hAnsi="宋体" w:cs="宋体"/>
          <w:bCs/>
          <w:color w:val="auto"/>
          <w:sz w:val="24"/>
          <w:highlight w:val="none"/>
        </w:rPr>
      </w:pPr>
    </w:p>
    <w:p>
      <w:pPr>
        <w:spacing w:line="36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时间：年月日</w:t>
      </w:r>
      <w:r>
        <w:rPr>
          <w:rFonts w:hint="eastAsia" w:ascii="宋体" w:hAnsi="宋体" w:cs="宋体"/>
          <w:bCs/>
          <w:color w:val="auto"/>
          <w:sz w:val="24"/>
          <w:highlight w:val="none"/>
          <w:lang w:val="en-US" w:eastAsia="zh-CN"/>
        </w:rPr>
        <w:t xml:space="preserve">             </w:t>
      </w:r>
      <w:r>
        <w:rPr>
          <w:rFonts w:hint="eastAsia" w:ascii="宋体" w:hAnsi="宋体" w:cs="宋体"/>
          <w:bCs/>
          <w:color w:val="auto"/>
          <w:sz w:val="24"/>
          <w:highlight w:val="none"/>
        </w:rPr>
        <w:t>包：</w:t>
      </w:r>
      <w:r>
        <w:rPr>
          <w:rFonts w:hint="eastAsia" w:ascii="宋体" w:hAnsi="宋体" w:cs="宋体"/>
          <w:bCs/>
          <w:color w:val="auto"/>
          <w:sz w:val="24"/>
          <w:highlight w:val="none"/>
          <w:lang w:val="en-US" w:eastAsia="zh-CN"/>
        </w:rPr>
        <w:t xml:space="preserve">                             </w:t>
      </w:r>
      <w:r>
        <w:rPr>
          <w:rFonts w:hint="eastAsia" w:ascii="宋体" w:hAnsi="宋体" w:cs="宋体"/>
          <w:bCs/>
          <w:color w:val="auto"/>
          <w:sz w:val="24"/>
          <w:highlight w:val="none"/>
        </w:rPr>
        <w:t>货币单</w:t>
      </w:r>
      <w:r>
        <w:rPr>
          <w:rFonts w:hint="eastAsia" w:ascii="宋体" w:hAnsi="宋体" w:cs="宋体"/>
          <w:bCs/>
          <w:color w:val="auto"/>
          <w:sz w:val="24"/>
          <w:highlight w:val="none"/>
          <w:u w:val="none"/>
        </w:rPr>
        <w:t>位:</w:t>
      </w:r>
      <w:r>
        <w:rPr>
          <w:rFonts w:hint="eastAsia" w:ascii="宋体" w:hAnsi="宋体" w:cs="宋体"/>
          <w:bCs/>
          <w:color w:val="auto"/>
          <w:sz w:val="24"/>
          <w:highlight w:val="none"/>
          <w:u w:val="single"/>
        </w:rPr>
        <w:t>元</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3138"/>
        <w:gridCol w:w="703"/>
        <w:gridCol w:w="904"/>
        <w:gridCol w:w="913"/>
        <w:gridCol w:w="1245"/>
        <w:gridCol w:w="1095"/>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750" w:type="dxa"/>
            <w:noWrap/>
            <w:vAlign w:val="center"/>
          </w:tcPr>
          <w:p>
            <w:pPr>
              <w:spacing w:line="360" w:lineRule="auto"/>
              <w:jc w:val="center"/>
              <w:rPr>
                <w:rFonts w:ascii="宋体" w:hAnsi="宋体" w:cs="宋体"/>
                <w:bCs/>
                <w:color w:val="auto"/>
                <w:sz w:val="24"/>
                <w:highlight w:val="none"/>
              </w:rPr>
            </w:pPr>
            <w:r>
              <w:rPr>
                <w:rFonts w:hint="eastAsia" w:ascii="宋体" w:hAnsi="宋体" w:cs="宋体"/>
                <w:bCs/>
                <w:color w:val="auto"/>
                <w:sz w:val="24"/>
                <w:highlight w:val="none"/>
              </w:rPr>
              <w:t>序号</w:t>
            </w:r>
          </w:p>
        </w:tc>
        <w:tc>
          <w:tcPr>
            <w:tcW w:w="3138" w:type="dxa"/>
            <w:noWrap/>
            <w:vAlign w:val="center"/>
          </w:tcPr>
          <w:p>
            <w:pPr>
              <w:spacing w:line="360" w:lineRule="auto"/>
              <w:jc w:val="center"/>
              <w:rPr>
                <w:rFonts w:ascii="宋体" w:hAnsi="宋体" w:cs="宋体"/>
                <w:bCs/>
                <w:color w:val="auto"/>
                <w:sz w:val="24"/>
                <w:highlight w:val="none"/>
              </w:rPr>
            </w:pPr>
            <w:r>
              <w:rPr>
                <w:rFonts w:hint="eastAsia" w:ascii="宋体" w:hAnsi="宋体" w:cs="宋体"/>
                <w:bCs/>
                <w:color w:val="auto"/>
                <w:sz w:val="24"/>
                <w:highlight w:val="none"/>
              </w:rPr>
              <w:t>投标货物名称</w:t>
            </w:r>
          </w:p>
        </w:tc>
        <w:tc>
          <w:tcPr>
            <w:tcW w:w="703" w:type="dxa"/>
            <w:noWrap/>
            <w:vAlign w:val="center"/>
          </w:tcPr>
          <w:p>
            <w:pPr>
              <w:spacing w:line="360" w:lineRule="auto"/>
              <w:jc w:val="center"/>
              <w:rPr>
                <w:rFonts w:ascii="宋体" w:hAnsi="宋体" w:cs="宋体"/>
                <w:bCs/>
                <w:color w:val="auto"/>
                <w:sz w:val="24"/>
                <w:highlight w:val="none"/>
              </w:rPr>
            </w:pPr>
            <w:r>
              <w:rPr>
                <w:rFonts w:hint="eastAsia" w:ascii="宋体" w:hAnsi="宋体" w:cs="宋体"/>
                <w:bCs/>
                <w:color w:val="auto"/>
                <w:sz w:val="24"/>
                <w:highlight w:val="none"/>
              </w:rPr>
              <w:t>单价</w:t>
            </w:r>
          </w:p>
        </w:tc>
        <w:tc>
          <w:tcPr>
            <w:tcW w:w="904" w:type="dxa"/>
            <w:noWrap/>
            <w:vAlign w:val="center"/>
          </w:tcPr>
          <w:p>
            <w:pPr>
              <w:spacing w:line="360" w:lineRule="auto"/>
              <w:jc w:val="center"/>
              <w:rPr>
                <w:rFonts w:ascii="宋体" w:hAnsi="宋体" w:cs="宋体"/>
                <w:bCs/>
                <w:color w:val="auto"/>
                <w:sz w:val="24"/>
                <w:highlight w:val="none"/>
              </w:rPr>
            </w:pPr>
            <w:r>
              <w:rPr>
                <w:rFonts w:hint="eastAsia" w:ascii="宋体" w:hAnsi="宋体" w:cs="宋体"/>
                <w:bCs/>
                <w:color w:val="auto"/>
                <w:sz w:val="24"/>
                <w:highlight w:val="none"/>
              </w:rPr>
              <w:t>数量</w:t>
            </w:r>
          </w:p>
        </w:tc>
        <w:tc>
          <w:tcPr>
            <w:tcW w:w="913" w:type="dxa"/>
            <w:noWrap/>
            <w:vAlign w:val="center"/>
          </w:tcPr>
          <w:p>
            <w:pPr>
              <w:spacing w:line="360" w:lineRule="auto"/>
              <w:jc w:val="center"/>
              <w:rPr>
                <w:rFonts w:ascii="宋体" w:hAnsi="宋体" w:cs="宋体"/>
                <w:bCs/>
                <w:color w:val="auto"/>
                <w:sz w:val="24"/>
                <w:highlight w:val="none"/>
              </w:rPr>
            </w:pPr>
            <w:r>
              <w:rPr>
                <w:rFonts w:hint="eastAsia" w:ascii="宋体" w:hAnsi="宋体" w:cs="宋体"/>
                <w:bCs/>
                <w:color w:val="auto"/>
                <w:sz w:val="24"/>
                <w:highlight w:val="none"/>
              </w:rPr>
              <w:t>总价</w:t>
            </w:r>
          </w:p>
        </w:tc>
        <w:tc>
          <w:tcPr>
            <w:tcW w:w="1245" w:type="dxa"/>
            <w:noWrap/>
            <w:vAlign w:val="center"/>
          </w:tcPr>
          <w:p>
            <w:pPr>
              <w:spacing w:line="360" w:lineRule="auto"/>
              <w:jc w:val="center"/>
              <w:rPr>
                <w:rFonts w:ascii="宋体" w:hAnsi="宋体" w:cs="宋体"/>
                <w:bCs/>
                <w:color w:val="auto"/>
                <w:sz w:val="24"/>
                <w:highlight w:val="none"/>
              </w:rPr>
            </w:pPr>
            <w:r>
              <w:rPr>
                <w:rFonts w:hint="eastAsia" w:ascii="宋体" w:hAnsi="宋体" w:cs="宋体"/>
                <w:color w:val="auto"/>
                <w:sz w:val="24"/>
                <w:highlight w:val="none"/>
              </w:rPr>
              <w:t>合同履行期限</w:t>
            </w:r>
            <w:r>
              <w:rPr>
                <w:rFonts w:hint="eastAsia" w:ascii="宋体" w:hAnsi="宋体" w:cs="宋体"/>
                <w:color w:val="auto"/>
                <w:sz w:val="24"/>
                <w:highlight w:val="none"/>
                <w:lang w:eastAsia="zh-CN"/>
              </w:rPr>
              <w:t>（交货期）</w:t>
            </w:r>
          </w:p>
        </w:tc>
        <w:tc>
          <w:tcPr>
            <w:tcW w:w="1095" w:type="dxa"/>
            <w:noWrap/>
            <w:vAlign w:val="center"/>
          </w:tcPr>
          <w:p>
            <w:pPr>
              <w:spacing w:line="360" w:lineRule="auto"/>
              <w:rPr>
                <w:rFonts w:ascii="宋体" w:hAnsi="宋体" w:cs="宋体"/>
                <w:bCs/>
                <w:color w:val="auto"/>
                <w:sz w:val="24"/>
                <w:highlight w:val="none"/>
              </w:rPr>
            </w:pPr>
            <w:r>
              <w:rPr>
                <w:rFonts w:hint="eastAsia" w:ascii="宋体" w:hAnsi="宋体" w:cs="宋体"/>
                <w:bCs/>
                <w:color w:val="auto"/>
                <w:sz w:val="24"/>
                <w:highlight w:val="none"/>
              </w:rPr>
              <w:t>投标保证金</w:t>
            </w:r>
          </w:p>
        </w:tc>
        <w:tc>
          <w:tcPr>
            <w:tcW w:w="720" w:type="dxa"/>
            <w:noWrap/>
            <w:vAlign w:val="center"/>
          </w:tcPr>
          <w:p>
            <w:pPr>
              <w:spacing w:line="360" w:lineRule="auto"/>
              <w:rPr>
                <w:rFonts w:ascii="宋体" w:hAnsi="宋体" w:cs="宋体"/>
                <w:bCs/>
                <w:color w:val="auto"/>
                <w:sz w:val="24"/>
                <w:highlight w:val="none"/>
              </w:rPr>
            </w:pPr>
            <w:r>
              <w:rPr>
                <w:rFonts w:hint="eastAsia" w:ascii="宋体" w:hAnsi="宋体" w:cs="宋体"/>
                <w:bCs/>
                <w:color w:val="auto"/>
                <w:sz w:val="24"/>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750" w:type="dxa"/>
            <w:noWrap/>
          </w:tcPr>
          <w:p>
            <w:pPr>
              <w:spacing w:line="360" w:lineRule="auto"/>
              <w:rPr>
                <w:rFonts w:ascii="宋体" w:hAnsi="宋体" w:cs="宋体"/>
                <w:bCs/>
                <w:color w:val="auto"/>
                <w:sz w:val="24"/>
                <w:highlight w:val="none"/>
              </w:rPr>
            </w:pPr>
          </w:p>
        </w:tc>
        <w:tc>
          <w:tcPr>
            <w:tcW w:w="3138" w:type="dxa"/>
            <w:noWrap/>
          </w:tcPr>
          <w:p>
            <w:pPr>
              <w:spacing w:line="360" w:lineRule="auto"/>
              <w:rPr>
                <w:rFonts w:ascii="宋体" w:hAnsi="宋体" w:cs="宋体"/>
                <w:bCs/>
                <w:color w:val="auto"/>
                <w:sz w:val="24"/>
                <w:highlight w:val="none"/>
              </w:rPr>
            </w:pPr>
          </w:p>
        </w:tc>
        <w:tc>
          <w:tcPr>
            <w:tcW w:w="703" w:type="dxa"/>
            <w:noWrap/>
          </w:tcPr>
          <w:p>
            <w:pPr>
              <w:spacing w:line="360" w:lineRule="auto"/>
              <w:rPr>
                <w:rFonts w:ascii="宋体" w:hAnsi="宋体" w:cs="宋体"/>
                <w:bCs/>
                <w:color w:val="auto"/>
                <w:sz w:val="24"/>
                <w:highlight w:val="none"/>
              </w:rPr>
            </w:pPr>
          </w:p>
        </w:tc>
        <w:tc>
          <w:tcPr>
            <w:tcW w:w="904" w:type="dxa"/>
            <w:noWrap/>
          </w:tcPr>
          <w:p>
            <w:pPr>
              <w:spacing w:line="360" w:lineRule="auto"/>
              <w:rPr>
                <w:rFonts w:ascii="宋体" w:hAnsi="宋体" w:cs="宋体"/>
                <w:bCs/>
                <w:color w:val="auto"/>
                <w:sz w:val="24"/>
                <w:highlight w:val="none"/>
              </w:rPr>
            </w:pPr>
          </w:p>
        </w:tc>
        <w:tc>
          <w:tcPr>
            <w:tcW w:w="913" w:type="dxa"/>
            <w:noWrap/>
          </w:tcPr>
          <w:p>
            <w:pPr>
              <w:spacing w:line="360" w:lineRule="auto"/>
              <w:rPr>
                <w:rFonts w:ascii="宋体" w:hAnsi="宋体" w:cs="宋体"/>
                <w:bCs/>
                <w:color w:val="auto"/>
                <w:sz w:val="24"/>
                <w:highlight w:val="none"/>
              </w:rPr>
            </w:pPr>
          </w:p>
        </w:tc>
        <w:tc>
          <w:tcPr>
            <w:tcW w:w="1245" w:type="dxa"/>
            <w:noWrap/>
          </w:tcPr>
          <w:p>
            <w:pPr>
              <w:spacing w:line="360" w:lineRule="auto"/>
              <w:rPr>
                <w:rFonts w:ascii="宋体" w:hAnsi="宋体" w:cs="宋体"/>
                <w:bCs/>
                <w:color w:val="auto"/>
                <w:sz w:val="24"/>
                <w:highlight w:val="none"/>
              </w:rPr>
            </w:pPr>
          </w:p>
        </w:tc>
        <w:tc>
          <w:tcPr>
            <w:tcW w:w="1095" w:type="dxa"/>
            <w:noWrap/>
          </w:tcPr>
          <w:p>
            <w:pPr>
              <w:spacing w:line="360" w:lineRule="auto"/>
              <w:rPr>
                <w:rFonts w:ascii="宋体" w:hAnsi="宋体" w:cs="宋体"/>
                <w:bCs/>
                <w:color w:val="auto"/>
                <w:sz w:val="24"/>
                <w:highlight w:val="none"/>
              </w:rPr>
            </w:pPr>
          </w:p>
        </w:tc>
        <w:tc>
          <w:tcPr>
            <w:tcW w:w="720" w:type="dxa"/>
            <w:noWrap/>
          </w:tcPr>
          <w:p>
            <w:pPr>
              <w:spacing w:line="360" w:lineRule="auto"/>
              <w:rPr>
                <w:rFonts w:ascii="宋体" w:hAnsi="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750" w:type="dxa"/>
            <w:noWrap/>
          </w:tcPr>
          <w:p>
            <w:pPr>
              <w:spacing w:line="360" w:lineRule="auto"/>
              <w:rPr>
                <w:rFonts w:ascii="宋体" w:hAnsi="宋体" w:cs="宋体"/>
                <w:bCs/>
                <w:color w:val="auto"/>
                <w:sz w:val="24"/>
                <w:highlight w:val="none"/>
              </w:rPr>
            </w:pPr>
          </w:p>
        </w:tc>
        <w:tc>
          <w:tcPr>
            <w:tcW w:w="3138" w:type="dxa"/>
            <w:noWrap/>
          </w:tcPr>
          <w:p>
            <w:pPr>
              <w:spacing w:line="360" w:lineRule="auto"/>
              <w:rPr>
                <w:rFonts w:ascii="宋体" w:hAnsi="宋体" w:cs="宋体"/>
                <w:bCs/>
                <w:color w:val="auto"/>
                <w:sz w:val="24"/>
                <w:highlight w:val="none"/>
              </w:rPr>
            </w:pPr>
          </w:p>
        </w:tc>
        <w:tc>
          <w:tcPr>
            <w:tcW w:w="703" w:type="dxa"/>
            <w:noWrap/>
          </w:tcPr>
          <w:p>
            <w:pPr>
              <w:spacing w:line="360" w:lineRule="auto"/>
              <w:rPr>
                <w:rFonts w:ascii="宋体" w:hAnsi="宋体" w:cs="宋体"/>
                <w:bCs/>
                <w:color w:val="auto"/>
                <w:sz w:val="24"/>
                <w:highlight w:val="none"/>
              </w:rPr>
            </w:pPr>
          </w:p>
        </w:tc>
        <w:tc>
          <w:tcPr>
            <w:tcW w:w="904" w:type="dxa"/>
            <w:noWrap/>
          </w:tcPr>
          <w:p>
            <w:pPr>
              <w:spacing w:line="360" w:lineRule="auto"/>
              <w:rPr>
                <w:rFonts w:ascii="宋体" w:hAnsi="宋体" w:cs="宋体"/>
                <w:bCs/>
                <w:color w:val="auto"/>
                <w:sz w:val="24"/>
                <w:highlight w:val="none"/>
              </w:rPr>
            </w:pPr>
          </w:p>
        </w:tc>
        <w:tc>
          <w:tcPr>
            <w:tcW w:w="913" w:type="dxa"/>
            <w:noWrap/>
          </w:tcPr>
          <w:p>
            <w:pPr>
              <w:spacing w:line="360" w:lineRule="auto"/>
              <w:rPr>
                <w:rFonts w:ascii="宋体" w:hAnsi="宋体" w:cs="宋体"/>
                <w:bCs/>
                <w:color w:val="auto"/>
                <w:sz w:val="24"/>
                <w:highlight w:val="none"/>
              </w:rPr>
            </w:pPr>
          </w:p>
        </w:tc>
        <w:tc>
          <w:tcPr>
            <w:tcW w:w="1245" w:type="dxa"/>
            <w:noWrap/>
          </w:tcPr>
          <w:p>
            <w:pPr>
              <w:spacing w:line="360" w:lineRule="auto"/>
              <w:rPr>
                <w:rFonts w:ascii="宋体" w:hAnsi="宋体" w:cs="宋体"/>
                <w:bCs/>
                <w:color w:val="auto"/>
                <w:sz w:val="24"/>
                <w:highlight w:val="none"/>
              </w:rPr>
            </w:pPr>
          </w:p>
        </w:tc>
        <w:tc>
          <w:tcPr>
            <w:tcW w:w="1095" w:type="dxa"/>
            <w:noWrap/>
          </w:tcPr>
          <w:p>
            <w:pPr>
              <w:spacing w:line="360" w:lineRule="auto"/>
              <w:rPr>
                <w:rFonts w:ascii="宋体" w:hAnsi="宋体" w:cs="宋体"/>
                <w:bCs/>
                <w:color w:val="auto"/>
                <w:sz w:val="24"/>
                <w:highlight w:val="none"/>
              </w:rPr>
            </w:pPr>
          </w:p>
        </w:tc>
        <w:tc>
          <w:tcPr>
            <w:tcW w:w="720" w:type="dxa"/>
            <w:noWrap/>
          </w:tcPr>
          <w:p>
            <w:pPr>
              <w:spacing w:line="360" w:lineRule="auto"/>
              <w:rPr>
                <w:rFonts w:ascii="宋体" w:hAnsi="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750" w:type="dxa"/>
            <w:noWrap/>
          </w:tcPr>
          <w:p>
            <w:pPr>
              <w:spacing w:line="360" w:lineRule="auto"/>
              <w:rPr>
                <w:rFonts w:ascii="宋体" w:hAnsi="宋体" w:cs="宋体"/>
                <w:bCs/>
                <w:color w:val="auto"/>
                <w:sz w:val="24"/>
                <w:highlight w:val="none"/>
              </w:rPr>
            </w:pPr>
          </w:p>
        </w:tc>
        <w:tc>
          <w:tcPr>
            <w:tcW w:w="3138" w:type="dxa"/>
            <w:noWrap/>
          </w:tcPr>
          <w:p>
            <w:pPr>
              <w:spacing w:line="360" w:lineRule="auto"/>
              <w:rPr>
                <w:rFonts w:ascii="宋体" w:hAnsi="宋体" w:cs="宋体"/>
                <w:bCs/>
                <w:color w:val="auto"/>
                <w:sz w:val="24"/>
                <w:highlight w:val="none"/>
              </w:rPr>
            </w:pPr>
          </w:p>
        </w:tc>
        <w:tc>
          <w:tcPr>
            <w:tcW w:w="703" w:type="dxa"/>
            <w:noWrap/>
          </w:tcPr>
          <w:p>
            <w:pPr>
              <w:spacing w:line="360" w:lineRule="auto"/>
              <w:rPr>
                <w:rFonts w:ascii="宋体" w:hAnsi="宋体" w:cs="宋体"/>
                <w:bCs/>
                <w:color w:val="auto"/>
                <w:sz w:val="24"/>
                <w:highlight w:val="none"/>
              </w:rPr>
            </w:pPr>
          </w:p>
        </w:tc>
        <w:tc>
          <w:tcPr>
            <w:tcW w:w="904" w:type="dxa"/>
            <w:noWrap/>
          </w:tcPr>
          <w:p>
            <w:pPr>
              <w:spacing w:line="360" w:lineRule="auto"/>
              <w:rPr>
                <w:rFonts w:ascii="宋体" w:hAnsi="宋体" w:cs="宋体"/>
                <w:bCs/>
                <w:color w:val="auto"/>
                <w:sz w:val="24"/>
                <w:highlight w:val="none"/>
              </w:rPr>
            </w:pPr>
          </w:p>
        </w:tc>
        <w:tc>
          <w:tcPr>
            <w:tcW w:w="913" w:type="dxa"/>
            <w:noWrap/>
          </w:tcPr>
          <w:p>
            <w:pPr>
              <w:spacing w:line="360" w:lineRule="auto"/>
              <w:rPr>
                <w:rFonts w:ascii="宋体" w:hAnsi="宋体" w:cs="宋体"/>
                <w:bCs/>
                <w:color w:val="auto"/>
                <w:sz w:val="24"/>
                <w:highlight w:val="none"/>
              </w:rPr>
            </w:pPr>
          </w:p>
        </w:tc>
        <w:tc>
          <w:tcPr>
            <w:tcW w:w="1245" w:type="dxa"/>
            <w:noWrap/>
          </w:tcPr>
          <w:p>
            <w:pPr>
              <w:spacing w:line="360" w:lineRule="auto"/>
              <w:rPr>
                <w:rFonts w:ascii="宋体" w:hAnsi="宋体" w:cs="宋体"/>
                <w:bCs/>
                <w:color w:val="auto"/>
                <w:sz w:val="24"/>
                <w:highlight w:val="none"/>
              </w:rPr>
            </w:pPr>
          </w:p>
        </w:tc>
        <w:tc>
          <w:tcPr>
            <w:tcW w:w="1095" w:type="dxa"/>
            <w:noWrap/>
          </w:tcPr>
          <w:p>
            <w:pPr>
              <w:spacing w:line="360" w:lineRule="auto"/>
              <w:rPr>
                <w:rFonts w:ascii="宋体" w:hAnsi="宋体" w:cs="宋体"/>
                <w:bCs/>
                <w:color w:val="auto"/>
                <w:sz w:val="24"/>
                <w:highlight w:val="none"/>
              </w:rPr>
            </w:pPr>
          </w:p>
        </w:tc>
        <w:tc>
          <w:tcPr>
            <w:tcW w:w="720" w:type="dxa"/>
            <w:noWrap/>
          </w:tcPr>
          <w:p>
            <w:pPr>
              <w:spacing w:line="360" w:lineRule="auto"/>
              <w:rPr>
                <w:rFonts w:ascii="宋体" w:hAnsi="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9468" w:type="dxa"/>
            <w:gridSpan w:val="8"/>
            <w:noWrap/>
            <w:vAlign w:val="center"/>
          </w:tcPr>
          <w:p>
            <w:pPr>
              <w:rPr>
                <w:rFonts w:ascii="宋体" w:hAnsi="宋体" w:cs="宋体"/>
                <w:bCs/>
                <w:color w:val="auto"/>
                <w:sz w:val="24"/>
                <w:highlight w:val="none"/>
              </w:rPr>
            </w:pPr>
            <w:r>
              <w:rPr>
                <w:rFonts w:hint="eastAsia" w:ascii="宋体" w:hAnsi="宋体" w:cs="宋体"/>
                <w:bCs/>
                <w:color w:val="auto"/>
                <w:sz w:val="24"/>
                <w:highlight w:val="none"/>
              </w:rPr>
              <w:t>投标总价：</w:t>
            </w:r>
          </w:p>
        </w:tc>
      </w:tr>
    </w:tbl>
    <w:p>
      <w:pPr>
        <w:spacing w:line="360" w:lineRule="auto"/>
        <w:rPr>
          <w:rFonts w:ascii="宋体" w:hAnsi="宋体" w:cs="宋体"/>
          <w:color w:val="auto"/>
          <w:sz w:val="24"/>
          <w:highlight w:val="none"/>
        </w:rPr>
      </w:pPr>
      <w:r>
        <w:rPr>
          <w:rFonts w:hint="eastAsia" w:ascii="宋体" w:hAnsi="宋体" w:cs="宋体"/>
          <w:color w:val="auto"/>
          <w:sz w:val="24"/>
          <w:highlight w:val="none"/>
        </w:rPr>
        <w:t>说明：</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1.本“开标一览表”用于开标时唱标使用。</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2.此表中的各项内容应与投标文件的相应内容一致。</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w:t>
      </w:r>
      <w:r>
        <w:rPr>
          <w:rFonts w:hint="eastAsia" w:ascii="宋体" w:hAnsi="宋体" w:cs="宋体"/>
          <w:i/>
          <w:color w:val="auto"/>
          <w:sz w:val="24"/>
          <w:highlight w:val="none"/>
          <w:u w:val="single"/>
        </w:rPr>
        <w:t>此表应按投标人须知的要求单独密封和标记，并按目录顺序加入投标文件中，与投标文件同时递交。</w:t>
      </w:r>
    </w:p>
    <w:p>
      <w:pPr>
        <w:spacing w:line="360" w:lineRule="auto"/>
        <w:ind w:firstLine="480" w:firstLineChars="200"/>
        <w:outlineLvl w:val="0"/>
        <w:rPr>
          <w:rFonts w:ascii="宋体" w:hAnsi="宋体" w:cs="宋体"/>
          <w:color w:val="auto"/>
          <w:sz w:val="24"/>
          <w:highlight w:val="none"/>
        </w:rPr>
      </w:pPr>
      <w:bookmarkStart w:id="93" w:name="_Toc12354"/>
      <w:bookmarkStart w:id="94" w:name="_Toc717"/>
      <w:r>
        <w:rPr>
          <w:rFonts w:hint="eastAsia" w:ascii="宋体" w:hAnsi="宋体" w:cs="宋体"/>
          <w:color w:val="auto"/>
          <w:sz w:val="24"/>
          <w:highlight w:val="none"/>
        </w:rPr>
        <w:t>4.此表可根据需要自行拉长加宽。（可根据实际情况调整）</w:t>
      </w:r>
      <w:bookmarkEnd w:id="93"/>
      <w:bookmarkEnd w:id="94"/>
    </w:p>
    <w:p>
      <w:pPr>
        <w:spacing w:line="360" w:lineRule="auto"/>
        <w:ind w:firstLine="480" w:firstLineChars="200"/>
        <w:outlineLvl w:val="0"/>
        <w:rPr>
          <w:rFonts w:ascii="宋体" w:hAnsi="宋体" w:cs="宋体"/>
          <w:color w:val="auto"/>
          <w:sz w:val="24"/>
          <w:highlight w:val="none"/>
        </w:rPr>
      </w:pPr>
      <w:bookmarkStart w:id="95" w:name="_Toc24633"/>
      <w:bookmarkStart w:id="96" w:name="_Toc19347"/>
      <w:r>
        <w:rPr>
          <w:rFonts w:hint="eastAsia" w:ascii="宋体" w:hAnsi="宋体" w:cs="宋体"/>
          <w:color w:val="auto"/>
          <w:sz w:val="24"/>
          <w:highlight w:val="none"/>
        </w:rPr>
        <w:t>5.投标人报价应为优惠条件折算后的最终价格。评标过程中不再接受价优惠条件的价格折算。</w:t>
      </w:r>
      <w:bookmarkEnd w:id="95"/>
      <w:bookmarkEnd w:id="96"/>
    </w:p>
    <w:p>
      <w:pPr>
        <w:spacing w:line="360" w:lineRule="auto"/>
        <w:rPr>
          <w:rFonts w:ascii="宋体" w:hAnsi="宋体" w:cs="宋体"/>
          <w:b/>
          <w:color w:val="auto"/>
          <w:sz w:val="24"/>
          <w:szCs w:val="28"/>
          <w:highlight w:val="none"/>
        </w:rPr>
      </w:pPr>
    </w:p>
    <w:p>
      <w:pPr>
        <w:spacing w:line="360" w:lineRule="auto"/>
        <w:rPr>
          <w:rFonts w:ascii="宋体" w:hAnsi="宋体" w:cs="宋体"/>
          <w:b/>
          <w:color w:val="auto"/>
          <w:sz w:val="24"/>
          <w:szCs w:val="28"/>
          <w:highlight w:val="none"/>
        </w:rPr>
      </w:pPr>
    </w:p>
    <w:p>
      <w:pPr>
        <w:spacing w:line="360" w:lineRule="auto"/>
        <w:rPr>
          <w:rFonts w:ascii="宋体" w:hAnsi="宋体" w:cs="宋体"/>
          <w:b/>
          <w:color w:val="auto"/>
          <w:sz w:val="24"/>
          <w:szCs w:val="28"/>
          <w:highlight w:val="none"/>
        </w:rPr>
      </w:pPr>
      <w:r>
        <w:rPr>
          <w:rFonts w:hint="eastAsia" w:ascii="宋体" w:hAnsi="宋体" w:cs="宋体"/>
          <w:b/>
          <w:color w:val="auto"/>
          <w:sz w:val="24"/>
          <w:szCs w:val="28"/>
          <w:highlight w:val="none"/>
        </w:rPr>
        <w:t>格式二：</w:t>
      </w:r>
    </w:p>
    <w:p>
      <w:pPr>
        <w:pStyle w:val="12"/>
        <w:spacing w:line="360" w:lineRule="auto"/>
        <w:jc w:val="center"/>
        <w:outlineLvl w:val="0"/>
        <w:rPr>
          <w:rFonts w:ascii="宋体" w:hAnsi="宋体" w:cs="宋体"/>
          <w:b/>
          <w:bCs/>
          <w:color w:val="auto"/>
          <w:szCs w:val="28"/>
          <w:highlight w:val="none"/>
        </w:rPr>
      </w:pPr>
      <w:bookmarkStart w:id="97" w:name="_Toc11420"/>
      <w:bookmarkStart w:id="98" w:name="_Toc25845"/>
      <w:r>
        <w:rPr>
          <w:rFonts w:hint="eastAsia" w:ascii="宋体" w:hAnsi="宋体" w:cs="宋体"/>
          <w:b/>
          <w:bCs/>
          <w:color w:val="auto"/>
          <w:szCs w:val="28"/>
          <w:highlight w:val="none"/>
        </w:rPr>
        <w:t>投标函（格式）</w:t>
      </w:r>
      <w:bookmarkEnd w:id="97"/>
      <w:bookmarkEnd w:id="98"/>
    </w:p>
    <w:p>
      <w:pPr>
        <w:pStyle w:val="12"/>
        <w:widowControl/>
        <w:spacing w:line="300" w:lineRule="auto"/>
        <w:outlineLvl w:val="0"/>
        <w:rPr>
          <w:rFonts w:hint="eastAsia" w:ascii="宋体" w:hAnsi="宋体" w:eastAsia="宋体" w:cs="宋体"/>
          <w:color w:val="auto"/>
          <w:kern w:val="0"/>
          <w:szCs w:val="24"/>
          <w:highlight w:val="none"/>
          <w:u w:val="single"/>
          <w:lang w:eastAsia="zh-CN"/>
        </w:rPr>
      </w:pPr>
      <w:bookmarkStart w:id="99" w:name="_Toc2620"/>
      <w:bookmarkStart w:id="100" w:name="_Toc25390"/>
      <w:r>
        <w:rPr>
          <w:rFonts w:hint="eastAsia" w:ascii="宋体" w:hAnsi="宋体" w:cs="宋体"/>
          <w:color w:val="auto"/>
          <w:kern w:val="0"/>
          <w:szCs w:val="24"/>
          <w:highlight w:val="none"/>
        </w:rPr>
        <w:t>致：</w:t>
      </w:r>
      <w:r>
        <w:rPr>
          <w:rFonts w:hint="eastAsia" w:ascii="宋体" w:hAnsi="宋体" w:cs="宋体"/>
          <w:color w:val="auto"/>
          <w:kern w:val="0"/>
          <w:szCs w:val="24"/>
          <w:highlight w:val="none"/>
          <w:lang w:eastAsia="zh-CN"/>
        </w:rPr>
        <w:t>中峪国际项目管理有限公司</w:t>
      </w:r>
      <w:bookmarkEnd w:id="99"/>
      <w:bookmarkEnd w:id="100"/>
    </w:p>
    <w:p>
      <w:pPr>
        <w:spacing w:line="300" w:lineRule="auto"/>
        <w:ind w:left="239" w:leftChars="114" w:firstLine="240" w:firstLineChars="100"/>
        <w:outlineLvl w:val="0"/>
        <w:rPr>
          <w:rFonts w:ascii="宋体" w:hAnsi="宋体" w:cs="宋体"/>
          <w:color w:val="auto"/>
          <w:sz w:val="24"/>
          <w:highlight w:val="none"/>
        </w:rPr>
      </w:pPr>
      <w:bookmarkStart w:id="101" w:name="_Toc20277"/>
      <w:bookmarkStart w:id="102" w:name="_Toc27599"/>
      <w:r>
        <w:rPr>
          <w:rFonts w:hint="eastAsia" w:ascii="宋体" w:hAnsi="宋体" w:cs="宋体"/>
          <w:color w:val="auto"/>
          <w:sz w:val="24"/>
          <w:highlight w:val="none"/>
        </w:rPr>
        <w:t>根据贵方</w:t>
      </w:r>
      <w:r>
        <w:rPr>
          <w:rFonts w:hint="eastAsia" w:ascii="宋体" w:hAnsi="宋体" w:cs="宋体"/>
          <w:color w:val="auto"/>
          <w:sz w:val="24"/>
          <w:highlight w:val="none"/>
          <w:u w:val="single"/>
          <w:lang w:eastAsia="zh-CN"/>
        </w:rPr>
        <w:t>（</w:t>
      </w:r>
      <w:r>
        <w:rPr>
          <w:rFonts w:hint="eastAsia" w:ascii="宋体" w:hAnsi="宋体" w:cs="宋体"/>
          <w:color w:val="auto"/>
          <w:sz w:val="24"/>
          <w:highlight w:val="none"/>
          <w:u w:val="single"/>
        </w:rPr>
        <w:t>招标采购项目</w:t>
      </w:r>
      <w:r>
        <w:rPr>
          <w:rFonts w:hint="eastAsia" w:ascii="宋体" w:hAnsi="宋体" w:cs="宋体"/>
          <w:color w:val="auto"/>
          <w:sz w:val="24"/>
          <w:highlight w:val="none"/>
          <w:u w:val="single"/>
          <w:lang w:eastAsia="zh-CN"/>
        </w:rPr>
        <w:t>）</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的编号为</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招标文件，本投标人正式授权的下述签字人（姓名和职务）代表投标人</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（投标人的名称），提交下述投标文件正本1份，副本</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份,电子版</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份。</w:t>
      </w:r>
      <w:bookmarkEnd w:id="101"/>
      <w:bookmarkEnd w:id="102"/>
    </w:p>
    <w:p>
      <w:pPr>
        <w:spacing w:line="30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（1）投标报价一览表；</w:t>
      </w:r>
    </w:p>
    <w:p>
      <w:pPr>
        <w:spacing w:line="30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（2）投标货物及技术规格偏离表、商务条款偏离表；</w:t>
      </w:r>
    </w:p>
    <w:p>
      <w:pPr>
        <w:spacing w:line="30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（3）投标人须知要求的资格证明文件；</w:t>
      </w:r>
    </w:p>
    <w:p>
      <w:pPr>
        <w:spacing w:line="30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（4）售后服务承诺书；</w:t>
      </w:r>
    </w:p>
    <w:p>
      <w:pPr>
        <w:spacing w:line="30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（5）金额为人民币</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元的投标保证金；</w:t>
      </w:r>
    </w:p>
    <w:p>
      <w:pPr>
        <w:spacing w:line="30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（6）投标人须知要求投标人提交的全部文件；</w:t>
      </w:r>
    </w:p>
    <w:p>
      <w:pPr>
        <w:spacing w:line="30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（7）有关质量保证的各项文件。</w:t>
      </w:r>
    </w:p>
    <w:p>
      <w:pPr>
        <w:spacing w:line="30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据此函，签字人兹宣布同意如下：</w:t>
      </w:r>
    </w:p>
    <w:p>
      <w:pPr>
        <w:tabs>
          <w:tab w:val="left" w:pos="8175"/>
        </w:tabs>
        <w:spacing w:line="30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(1)按招标文件规定提供货物及服务的投标总价为（大写）人民币</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w:t>
      </w:r>
    </w:p>
    <w:p>
      <w:pPr>
        <w:spacing w:line="30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(2)我们保证根据招标文件规定履行合同责任和义务。</w:t>
      </w:r>
    </w:p>
    <w:p>
      <w:pPr>
        <w:spacing w:line="30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(3)我们已详细审核了全部招标文件，包括招标文件的修改、补充文件（如果有的话）、参考资料及有关的附件，我们知道必须放弃提出含糊不清或误解的问题的权利。</w:t>
      </w:r>
    </w:p>
    <w:p>
      <w:pPr>
        <w:spacing w:line="30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(4)我们同意在投标人须知第</w:t>
      </w:r>
      <w:r>
        <w:rPr>
          <w:rFonts w:hint="eastAsia" w:ascii="宋体" w:hAnsi="宋体" w:cs="宋体"/>
          <w:color w:val="auto"/>
          <w:sz w:val="24"/>
          <w:highlight w:val="none"/>
          <w:lang w:val="en-US" w:eastAsia="zh-CN"/>
        </w:rPr>
        <w:t>23</w:t>
      </w:r>
      <w:r>
        <w:rPr>
          <w:rFonts w:hint="eastAsia" w:ascii="宋体" w:hAnsi="宋体" w:cs="宋体"/>
          <w:color w:val="auto"/>
          <w:sz w:val="24"/>
          <w:highlight w:val="none"/>
        </w:rPr>
        <w:t>条规定的开标日期起遵循本投标书，并在投标人须知第</w:t>
      </w:r>
      <w:r>
        <w:rPr>
          <w:rFonts w:hint="eastAsia" w:ascii="宋体" w:hAnsi="宋体" w:cs="宋体"/>
          <w:color w:val="auto"/>
          <w:sz w:val="24"/>
          <w:highlight w:val="none"/>
          <w:lang w:val="en-US" w:eastAsia="zh-CN"/>
        </w:rPr>
        <w:t>21</w:t>
      </w:r>
      <w:r>
        <w:rPr>
          <w:rFonts w:hint="eastAsia" w:ascii="宋体" w:hAnsi="宋体" w:cs="宋体"/>
          <w:color w:val="auto"/>
          <w:sz w:val="24"/>
          <w:highlight w:val="none"/>
        </w:rPr>
        <w:t>条规定的投标有效期满之前均具有约束力，并有可能中标。</w:t>
      </w:r>
    </w:p>
    <w:p>
      <w:pPr>
        <w:spacing w:line="30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(5)我们如果在规定的投标有效期内撤回投标，则我们的投标保证金可被贵方没收。</w:t>
      </w:r>
    </w:p>
    <w:p>
      <w:pPr>
        <w:spacing w:line="30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(6)我们同意向贵方提供贵方可能要求的与本投标有关的任何证据或资料。</w:t>
      </w:r>
    </w:p>
    <w:p>
      <w:pPr>
        <w:spacing w:line="30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(7)我们完全理解贵方不一定要接受最低报价的投标或收到的任何投标。</w:t>
      </w:r>
    </w:p>
    <w:p>
      <w:pPr>
        <w:spacing w:line="30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(8)本投标自开标之日起90天内有效。</w:t>
      </w:r>
    </w:p>
    <w:p>
      <w:pPr>
        <w:spacing w:line="30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与本投标有关的正式通信地址为：</w:t>
      </w:r>
    </w:p>
    <w:p>
      <w:pPr>
        <w:spacing w:line="300" w:lineRule="auto"/>
        <w:ind w:firstLine="570"/>
        <w:rPr>
          <w:rFonts w:ascii="宋体" w:hAnsi="宋体" w:cs="宋体"/>
          <w:color w:val="auto"/>
          <w:sz w:val="24"/>
          <w:highlight w:val="none"/>
        </w:rPr>
      </w:pPr>
    </w:p>
    <w:p>
      <w:pPr>
        <w:spacing w:line="300" w:lineRule="auto"/>
        <w:ind w:firstLine="570"/>
        <w:rPr>
          <w:rFonts w:ascii="宋体" w:hAnsi="宋体" w:cs="宋体"/>
          <w:color w:val="auto"/>
          <w:sz w:val="24"/>
          <w:highlight w:val="none"/>
          <w:u w:val="single"/>
        </w:rPr>
      </w:pPr>
      <w:r>
        <w:rPr>
          <w:rFonts w:hint="eastAsia" w:ascii="宋体" w:hAnsi="宋体" w:cs="宋体"/>
          <w:color w:val="auto"/>
          <w:sz w:val="24"/>
          <w:highlight w:val="none"/>
        </w:rPr>
        <w:t>电话、传真或电传：</w:t>
      </w:r>
    </w:p>
    <w:p>
      <w:pPr>
        <w:spacing w:line="300" w:lineRule="auto"/>
        <w:ind w:firstLine="570"/>
        <w:rPr>
          <w:rFonts w:ascii="宋体" w:hAnsi="宋体" w:cs="宋体"/>
          <w:color w:val="auto"/>
          <w:sz w:val="24"/>
          <w:highlight w:val="none"/>
          <w:u w:val="single"/>
        </w:rPr>
      </w:pPr>
      <w:r>
        <w:rPr>
          <w:rFonts w:hint="eastAsia" w:ascii="宋体" w:hAnsi="宋体" w:cs="宋体"/>
          <w:color w:val="auto"/>
          <w:sz w:val="24"/>
          <w:highlight w:val="none"/>
        </w:rPr>
        <w:t>邮政编码：</w:t>
      </w:r>
    </w:p>
    <w:p>
      <w:pPr>
        <w:spacing w:line="300" w:lineRule="auto"/>
        <w:ind w:firstLine="570"/>
        <w:rPr>
          <w:rFonts w:ascii="宋体" w:hAnsi="宋体" w:cs="宋体"/>
          <w:color w:val="auto"/>
          <w:sz w:val="24"/>
          <w:highlight w:val="none"/>
          <w:u w:val="single"/>
        </w:rPr>
      </w:pPr>
      <w:r>
        <w:rPr>
          <w:rFonts w:hint="eastAsia" w:ascii="宋体" w:hAnsi="宋体" w:cs="宋体"/>
          <w:color w:val="auto"/>
          <w:sz w:val="24"/>
          <w:highlight w:val="none"/>
        </w:rPr>
        <w:t>投标人代表姓名：</w:t>
      </w:r>
    </w:p>
    <w:p>
      <w:pPr>
        <w:spacing w:line="300" w:lineRule="auto"/>
        <w:ind w:firstLine="570"/>
        <w:rPr>
          <w:rFonts w:ascii="宋体" w:hAnsi="宋体" w:cs="宋体"/>
          <w:color w:val="auto"/>
          <w:sz w:val="24"/>
          <w:highlight w:val="none"/>
          <w:u w:val="single"/>
        </w:rPr>
      </w:pPr>
      <w:r>
        <w:rPr>
          <w:rFonts w:hint="eastAsia" w:ascii="宋体" w:hAnsi="宋体" w:cs="宋体"/>
          <w:color w:val="auto"/>
          <w:sz w:val="24"/>
          <w:highlight w:val="none"/>
        </w:rPr>
        <w:t>地址：</w:t>
      </w:r>
    </w:p>
    <w:p>
      <w:pPr>
        <w:spacing w:line="300" w:lineRule="auto"/>
        <w:ind w:firstLine="570"/>
        <w:rPr>
          <w:rFonts w:ascii="宋体" w:hAnsi="宋体" w:cs="宋体"/>
          <w:color w:val="auto"/>
          <w:sz w:val="24"/>
          <w:highlight w:val="none"/>
          <w:u w:val="single"/>
        </w:rPr>
      </w:pPr>
      <w:r>
        <w:rPr>
          <w:rFonts w:hint="eastAsia" w:ascii="宋体" w:hAnsi="宋体" w:cs="宋体"/>
          <w:color w:val="auto"/>
          <w:sz w:val="24"/>
          <w:highlight w:val="none"/>
        </w:rPr>
        <w:t>公章：</w:t>
      </w:r>
    </w:p>
    <w:p>
      <w:pPr>
        <w:spacing w:line="300" w:lineRule="auto"/>
        <w:ind w:firstLine="570"/>
        <w:rPr>
          <w:rFonts w:ascii="宋体" w:hAnsi="宋体" w:cs="宋体"/>
          <w:color w:val="auto"/>
          <w:sz w:val="24"/>
          <w:highlight w:val="none"/>
        </w:rPr>
      </w:pPr>
      <w:r>
        <w:rPr>
          <w:rFonts w:hint="eastAsia" w:ascii="宋体" w:hAnsi="宋体" w:cs="宋体"/>
          <w:color w:val="auto"/>
          <w:sz w:val="24"/>
          <w:highlight w:val="none"/>
        </w:rPr>
        <w:t>日期：</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日</w:t>
      </w:r>
    </w:p>
    <w:p>
      <w:pPr>
        <w:spacing w:line="360" w:lineRule="auto"/>
        <w:rPr>
          <w:rFonts w:ascii="宋体" w:hAnsi="宋体" w:cs="宋体"/>
          <w:b/>
          <w:color w:val="auto"/>
          <w:sz w:val="24"/>
          <w:szCs w:val="28"/>
          <w:highlight w:val="none"/>
        </w:rPr>
      </w:pPr>
      <w:bookmarkStart w:id="103" w:name="chapter7"/>
      <w:bookmarkEnd w:id="103"/>
      <w:r>
        <w:rPr>
          <w:rFonts w:ascii="宋体" w:hAnsi="宋体" w:cs="宋体"/>
          <w:b/>
          <w:color w:val="auto"/>
          <w:sz w:val="24"/>
          <w:szCs w:val="28"/>
          <w:highlight w:val="none"/>
        </w:rPr>
        <w:br w:type="page"/>
      </w:r>
      <w:r>
        <w:rPr>
          <w:rFonts w:hint="eastAsia" w:ascii="宋体" w:hAnsi="宋体" w:cs="宋体"/>
          <w:b/>
          <w:color w:val="auto"/>
          <w:sz w:val="24"/>
          <w:szCs w:val="28"/>
          <w:highlight w:val="none"/>
        </w:rPr>
        <w:t>格式三：</w:t>
      </w:r>
    </w:p>
    <w:p>
      <w:pPr>
        <w:spacing w:line="360" w:lineRule="auto"/>
        <w:jc w:val="center"/>
        <w:rPr>
          <w:rFonts w:ascii="宋体" w:hAnsi="宋体" w:cs="宋体"/>
          <w:b/>
          <w:color w:val="auto"/>
          <w:sz w:val="24"/>
          <w:szCs w:val="28"/>
          <w:highlight w:val="none"/>
        </w:rPr>
      </w:pPr>
      <w:r>
        <w:rPr>
          <w:rFonts w:hint="eastAsia" w:ascii="宋体" w:hAnsi="宋体" w:cs="宋体"/>
          <w:b/>
          <w:color w:val="auto"/>
          <w:sz w:val="24"/>
          <w:szCs w:val="28"/>
          <w:highlight w:val="none"/>
        </w:rPr>
        <w:t>投标报价一览表（格式）</w:t>
      </w:r>
    </w:p>
    <w:p>
      <w:pPr>
        <w:spacing w:line="360" w:lineRule="auto"/>
        <w:jc w:val="center"/>
        <w:rPr>
          <w:rFonts w:ascii="仿宋_GB2312" w:hAnsi="宋体" w:eastAsia="仿宋_GB2312"/>
          <w:bCs/>
          <w:color w:val="auto"/>
          <w:sz w:val="24"/>
          <w:highlight w:val="none"/>
        </w:rPr>
      </w:pPr>
    </w:p>
    <w:p>
      <w:pPr>
        <w:spacing w:line="360" w:lineRule="auto"/>
        <w:ind w:firstLine="480" w:firstLineChars="200"/>
        <w:rPr>
          <w:rFonts w:ascii="宋体" w:hAnsi="宋体" w:cs="宋体"/>
          <w:bCs/>
          <w:color w:val="auto"/>
          <w:sz w:val="24"/>
          <w:highlight w:val="none"/>
          <w:u w:val="single"/>
        </w:rPr>
      </w:pPr>
      <w:r>
        <w:rPr>
          <w:rFonts w:hint="eastAsia" w:ascii="宋体" w:hAnsi="宋体" w:cs="宋体"/>
          <w:bCs/>
          <w:color w:val="auto"/>
          <w:sz w:val="24"/>
          <w:highlight w:val="none"/>
        </w:rPr>
        <w:t>项目名称：</w:t>
      </w:r>
      <w:r>
        <w:rPr>
          <w:rFonts w:hint="eastAsia" w:ascii="宋体" w:hAnsi="宋体" w:cs="宋体"/>
          <w:bCs/>
          <w:color w:val="auto"/>
          <w:sz w:val="24"/>
          <w:highlight w:val="none"/>
          <w:lang w:val="en-US" w:eastAsia="zh-CN"/>
        </w:rPr>
        <w:t xml:space="preserve">                    </w:t>
      </w:r>
      <w:r>
        <w:rPr>
          <w:rFonts w:hint="eastAsia" w:ascii="宋体" w:hAnsi="宋体" w:cs="宋体"/>
          <w:bCs/>
          <w:color w:val="auto"/>
          <w:sz w:val="24"/>
          <w:highlight w:val="none"/>
        </w:rPr>
        <w:t>包：</w:t>
      </w:r>
      <w:r>
        <w:rPr>
          <w:rFonts w:hint="eastAsia" w:ascii="宋体" w:hAnsi="宋体" w:cs="宋体"/>
          <w:bCs/>
          <w:color w:val="auto"/>
          <w:sz w:val="24"/>
          <w:highlight w:val="none"/>
          <w:lang w:val="en-US" w:eastAsia="zh-CN"/>
        </w:rPr>
        <w:t xml:space="preserve">             </w:t>
      </w:r>
      <w:r>
        <w:rPr>
          <w:rFonts w:hint="eastAsia" w:ascii="宋体" w:hAnsi="宋体" w:cs="宋体"/>
          <w:bCs/>
          <w:color w:val="auto"/>
          <w:sz w:val="24"/>
          <w:highlight w:val="none"/>
        </w:rPr>
        <w:t>货币单</w:t>
      </w:r>
      <w:r>
        <w:rPr>
          <w:rFonts w:hint="eastAsia" w:ascii="宋体" w:hAnsi="宋体" w:cs="宋体"/>
          <w:bCs/>
          <w:color w:val="auto"/>
          <w:sz w:val="24"/>
          <w:highlight w:val="none"/>
          <w:lang w:val="en-US" w:eastAsia="zh-CN"/>
        </w:rPr>
        <w:t>位:元</w:t>
      </w:r>
    </w:p>
    <w:tbl>
      <w:tblPr>
        <w:tblStyle w:val="22"/>
        <w:tblW w:w="951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479"/>
        <w:gridCol w:w="2078"/>
        <w:gridCol w:w="712"/>
        <w:gridCol w:w="1013"/>
        <w:gridCol w:w="791"/>
        <w:gridCol w:w="1705"/>
        <w:gridCol w:w="804"/>
        <w:gridCol w:w="193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959" w:hRule="atLeast"/>
          <w:jc w:val="center"/>
        </w:trPr>
        <w:tc>
          <w:tcPr>
            <w:tcW w:w="479" w:type="dxa"/>
            <w:tcBorders>
              <w:top w:val="single" w:color="auto" w:sz="12" w:space="0"/>
              <w:bottom w:val="double" w:color="auto" w:sz="6" w:space="0"/>
            </w:tcBorders>
            <w:noWrap/>
            <w:vAlign w:val="center"/>
          </w:tcPr>
          <w:p>
            <w:pPr>
              <w:spacing w:line="360" w:lineRule="auto"/>
              <w:jc w:val="center"/>
              <w:rPr>
                <w:rFonts w:ascii="宋体" w:hAnsi="宋体" w:cs="宋体"/>
                <w:bCs/>
                <w:sz w:val="18"/>
                <w:szCs w:val="18"/>
              </w:rPr>
            </w:pPr>
            <w:r>
              <w:rPr>
                <w:rFonts w:hint="eastAsia" w:ascii="宋体" w:hAnsi="宋体" w:cs="宋体"/>
                <w:bCs/>
                <w:sz w:val="18"/>
                <w:szCs w:val="18"/>
              </w:rPr>
              <w:t>序号</w:t>
            </w:r>
          </w:p>
        </w:tc>
        <w:tc>
          <w:tcPr>
            <w:tcW w:w="2078" w:type="dxa"/>
            <w:tcBorders>
              <w:top w:val="single" w:color="auto" w:sz="12" w:space="0"/>
              <w:bottom w:val="double" w:color="auto" w:sz="6" w:space="0"/>
              <w:right w:val="single" w:color="auto" w:sz="4" w:space="0"/>
            </w:tcBorders>
            <w:noWrap/>
            <w:vAlign w:val="center"/>
          </w:tcPr>
          <w:p>
            <w:pPr>
              <w:spacing w:line="360" w:lineRule="auto"/>
              <w:ind w:firstLine="360" w:firstLineChars="200"/>
              <w:jc w:val="center"/>
              <w:rPr>
                <w:rFonts w:ascii="宋体" w:hAnsi="宋体" w:cs="宋体"/>
                <w:bCs/>
                <w:sz w:val="18"/>
                <w:szCs w:val="18"/>
              </w:rPr>
            </w:pPr>
            <w:r>
              <w:rPr>
                <w:rFonts w:hint="eastAsia" w:ascii="宋体" w:hAnsi="宋体" w:cs="宋体"/>
                <w:bCs/>
                <w:sz w:val="18"/>
                <w:szCs w:val="18"/>
              </w:rPr>
              <w:t>名称</w:t>
            </w:r>
          </w:p>
        </w:tc>
        <w:tc>
          <w:tcPr>
            <w:tcW w:w="712" w:type="dxa"/>
            <w:tcBorders>
              <w:top w:val="single" w:color="auto" w:sz="12" w:space="0"/>
              <w:left w:val="single" w:color="auto" w:sz="4" w:space="0"/>
              <w:bottom w:val="double" w:color="auto" w:sz="6" w:space="0"/>
            </w:tcBorders>
            <w:noWrap/>
            <w:vAlign w:val="center"/>
          </w:tcPr>
          <w:p>
            <w:pPr>
              <w:spacing w:line="360" w:lineRule="auto"/>
              <w:jc w:val="center"/>
              <w:rPr>
                <w:rFonts w:ascii="宋体" w:hAnsi="宋体" w:cs="宋体"/>
                <w:bCs/>
                <w:sz w:val="18"/>
                <w:szCs w:val="18"/>
              </w:rPr>
            </w:pPr>
            <w:r>
              <w:rPr>
                <w:rFonts w:hint="eastAsia" w:ascii="宋体" w:hAnsi="宋体" w:cs="宋体"/>
                <w:bCs/>
                <w:sz w:val="18"/>
                <w:szCs w:val="18"/>
              </w:rPr>
              <w:t>品牌</w:t>
            </w:r>
          </w:p>
        </w:tc>
        <w:tc>
          <w:tcPr>
            <w:tcW w:w="1013" w:type="dxa"/>
            <w:tcBorders>
              <w:top w:val="single" w:color="auto" w:sz="12" w:space="0"/>
              <w:bottom w:val="double" w:color="auto" w:sz="6" w:space="0"/>
            </w:tcBorders>
            <w:noWrap/>
            <w:vAlign w:val="center"/>
          </w:tcPr>
          <w:p>
            <w:pPr>
              <w:spacing w:line="360" w:lineRule="auto"/>
              <w:jc w:val="center"/>
              <w:rPr>
                <w:rFonts w:ascii="宋体" w:hAnsi="宋体" w:cs="宋体"/>
                <w:bCs/>
                <w:sz w:val="18"/>
                <w:szCs w:val="18"/>
              </w:rPr>
            </w:pPr>
            <w:r>
              <w:rPr>
                <w:rFonts w:hint="eastAsia" w:ascii="宋体" w:hAnsi="宋体" w:cs="宋体"/>
                <w:bCs/>
                <w:sz w:val="18"/>
                <w:szCs w:val="18"/>
              </w:rPr>
              <w:t>型号和规格</w:t>
            </w:r>
          </w:p>
        </w:tc>
        <w:tc>
          <w:tcPr>
            <w:tcW w:w="791" w:type="dxa"/>
            <w:tcBorders>
              <w:top w:val="single" w:color="auto" w:sz="12" w:space="0"/>
              <w:bottom w:val="double" w:color="auto" w:sz="6" w:space="0"/>
            </w:tcBorders>
            <w:noWrap/>
            <w:vAlign w:val="center"/>
          </w:tcPr>
          <w:p>
            <w:pPr>
              <w:spacing w:line="360" w:lineRule="auto"/>
              <w:jc w:val="center"/>
              <w:rPr>
                <w:rFonts w:ascii="宋体" w:hAnsi="宋体" w:cs="宋体"/>
                <w:bCs/>
                <w:sz w:val="18"/>
                <w:szCs w:val="18"/>
              </w:rPr>
            </w:pPr>
            <w:r>
              <w:rPr>
                <w:rFonts w:hint="eastAsia" w:ascii="宋体" w:hAnsi="宋体" w:cs="宋体"/>
                <w:bCs/>
                <w:sz w:val="18"/>
                <w:szCs w:val="18"/>
              </w:rPr>
              <w:t>数量（a）</w:t>
            </w:r>
          </w:p>
        </w:tc>
        <w:tc>
          <w:tcPr>
            <w:tcW w:w="1705" w:type="dxa"/>
            <w:tcBorders>
              <w:top w:val="single" w:color="auto" w:sz="12" w:space="0"/>
              <w:bottom w:val="double" w:color="auto" w:sz="6" w:space="0"/>
            </w:tcBorders>
            <w:noWrap/>
            <w:vAlign w:val="center"/>
          </w:tcPr>
          <w:p>
            <w:pPr>
              <w:spacing w:line="360" w:lineRule="auto"/>
              <w:jc w:val="center"/>
              <w:rPr>
                <w:rFonts w:ascii="宋体" w:hAnsi="宋体" w:cs="宋体"/>
                <w:bCs/>
                <w:sz w:val="18"/>
                <w:szCs w:val="18"/>
              </w:rPr>
            </w:pPr>
            <w:r>
              <w:rPr>
                <w:rFonts w:hint="eastAsia" w:ascii="宋体" w:hAnsi="宋体" w:cs="宋体"/>
                <w:bCs/>
                <w:sz w:val="18"/>
                <w:szCs w:val="18"/>
              </w:rPr>
              <w:t>原产地和制造商名称</w:t>
            </w:r>
          </w:p>
        </w:tc>
        <w:tc>
          <w:tcPr>
            <w:tcW w:w="804" w:type="dxa"/>
            <w:tcBorders>
              <w:top w:val="single" w:color="auto" w:sz="12" w:space="0"/>
              <w:bottom w:val="double" w:color="auto" w:sz="6" w:space="0"/>
              <w:right w:val="single" w:color="auto" w:sz="4" w:space="0"/>
            </w:tcBorders>
            <w:noWrap/>
            <w:vAlign w:val="center"/>
          </w:tcPr>
          <w:p>
            <w:pPr>
              <w:spacing w:line="360" w:lineRule="auto"/>
              <w:jc w:val="center"/>
              <w:rPr>
                <w:rFonts w:ascii="宋体" w:hAnsi="宋体" w:cs="宋体"/>
                <w:bCs/>
                <w:sz w:val="18"/>
                <w:szCs w:val="18"/>
              </w:rPr>
            </w:pPr>
            <w:r>
              <w:rPr>
                <w:rFonts w:hint="eastAsia" w:ascii="宋体" w:hAnsi="宋体" w:cs="宋体"/>
                <w:bCs/>
                <w:sz w:val="18"/>
                <w:szCs w:val="18"/>
              </w:rPr>
              <w:t>单价（b）</w:t>
            </w:r>
          </w:p>
        </w:tc>
        <w:tc>
          <w:tcPr>
            <w:tcW w:w="1935" w:type="dxa"/>
            <w:tcBorders>
              <w:top w:val="single" w:color="auto" w:sz="12" w:space="0"/>
              <w:bottom w:val="double" w:color="auto" w:sz="6" w:space="0"/>
            </w:tcBorders>
            <w:noWrap/>
            <w:vAlign w:val="center"/>
          </w:tcPr>
          <w:p>
            <w:pPr>
              <w:spacing w:line="360" w:lineRule="auto"/>
              <w:jc w:val="center"/>
              <w:rPr>
                <w:rFonts w:ascii="宋体" w:hAnsi="宋体" w:cs="宋体"/>
                <w:bCs/>
                <w:sz w:val="18"/>
                <w:szCs w:val="18"/>
              </w:rPr>
            </w:pPr>
            <w:r>
              <w:rPr>
                <w:rFonts w:hint="eastAsia" w:ascii="宋体" w:hAnsi="宋体" w:cs="宋体"/>
                <w:bCs/>
                <w:sz w:val="18"/>
                <w:szCs w:val="18"/>
              </w:rPr>
              <w:t>总价（a）*（b）</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noWrap/>
            <w:vAlign w:val="center"/>
          </w:tcPr>
          <w:p>
            <w:pPr>
              <w:spacing w:line="360" w:lineRule="auto"/>
              <w:jc w:val="center"/>
              <w:rPr>
                <w:rFonts w:ascii="宋体" w:hAnsi="宋体" w:cs="宋体"/>
                <w:bCs/>
                <w:sz w:val="18"/>
                <w:szCs w:val="18"/>
              </w:rPr>
            </w:pPr>
          </w:p>
        </w:tc>
        <w:tc>
          <w:tcPr>
            <w:tcW w:w="2078" w:type="dxa"/>
            <w:tcBorders>
              <w:right w:val="single" w:color="auto" w:sz="4" w:space="0"/>
            </w:tcBorders>
            <w:noWrap/>
            <w:vAlign w:val="center"/>
          </w:tcPr>
          <w:p>
            <w:pPr>
              <w:spacing w:line="180" w:lineRule="exact"/>
              <w:jc w:val="center"/>
              <w:rPr>
                <w:rFonts w:ascii="宋体" w:hAnsi="宋体" w:cs="宋体"/>
                <w:bCs/>
                <w:sz w:val="18"/>
                <w:szCs w:val="18"/>
              </w:rPr>
            </w:pPr>
          </w:p>
        </w:tc>
        <w:tc>
          <w:tcPr>
            <w:tcW w:w="712" w:type="dxa"/>
            <w:tcBorders>
              <w:left w:val="single" w:color="auto" w:sz="4" w:space="0"/>
            </w:tcBorders>
            <w:noWrap/>
            <w:vAlign w:val="center"/>
          </w:tcPr>
          <w:p>
            <w:pPr>
              <w:spacing w:line="180" w:lineRule="exact"/>
              <w:jc w:val="center"/>
              <w:rPr>
                <w:rFonts w:ascii="宋体" w:hAnsi="宋体" w:cs="宋体"/>
                <w:bCs/>
                <w:sz w:val="18"/>
                <w:szCs w:val="18"/>
              </w:rPr>
            </w:pPr>
          </w:p>
        </w:tc>
        <w:tc>
          <w:tcPr>
            <w:tcW w:w="1013" w:type="dxa"/>
            <w:noWrap/>
            <w:vAlign w:val="center"/>
          </w:tcPr>
          <w:p>
            <w:pPr>
              <w:spacing w:line="180" w:lineRule="exact"/>
              <w:ind w:firstLine="360" w:firstLineChars="200"/>
              <w:rPr>
                <w:rFonts w:ascii="宋体" w:hAnsi="宋体" w:cs="宋体"/>
                <w:bCs/>
                <w:sz w:val="18"/>
                <w:szCs w:val="18"/>
              </w:rPr>
            </w:pPr>
          </w:p>
        </w:tc>
        <w:tc>
          <w:tcPr>
            <w:tcW w:w="791" w:type="dxa"/>
            <w:noWrap/>
            <w:vAlign w:val="center"/>
          </w:tcPr>
          <w:p>
            <w:pPr>
              <w:spacing w:line="180" w:lineRule="exact"/>
              <w:ind w:firstLine="360" w:firstLineChars="200"/>
              <w:rPr>
                <w:rFonts w:ascii="宋体" w:hAnsi="宋体" w:cs="宋体"/>
                <w:bCs/>
                <w:sz w:val="18"/>
                <w:szCs w:val="18"/>
              </w:rPr>
            </w:pPr>
          </w:p>
        </w:tc>
        <w:tc>
          <w:tcPr>
            <w:tcW w:w="1705" w:type="dxa"/>
            <w:noWrap/>
            <w:vAlign w:val="center"/>
          </w:tcPr>
          <w:p>
            <w:pPr>
              <w:spacing w:line="180" w:lineRule="exact"/>
              <w:ind w:firstLine="360" w:firstLineChars="200"/>
              <w:rPr>
                <w:rFonts w:ascii="宋体" w:hAnsi="宋体" w:cs="宋体"/>
                <w:bCs/>
                <w:sz w:val="18"/>
                <w:szCs w:val="18"/>
              </w:rPr>
            </w:pPr>
          </w:p>
        </w:tc>
        <w:tc>
          <w:tcPr>
            <w:tcW w:w="804" w:type="dxa"/>
            <w:tcBorders>
              <w:right w:val="single" w:color="auto" w:sz="4" w:space="0"/>
            </w:tcBorders>
            <w:noWrap/>
            <w:vAlign w:val="center"/>
          </w:tcPr>
          <w:p>
            <w:pPr>
              <w:spacing w:line="180" w:lineRule="exact"/>
              <w:ind w:firstLine="360" w:firstLineChars="200"/>
              <w:rPr>
                <w:rFonts w:ascii="宋体" w:hAnsi="宋体" w:cs="宋体"/>
                <w:bCs/>
                <w:sz w:val="18"/>
                <w:szCs w:val="18"/>
              </w:rPr>
            </w:pPr>
          </w:p>
        </w:tc>
        <w:tc>
          <w:tcPr>
            <w:tcW w:w="1935" w:type="dxa"/>
            <w:noWrap/>
            <w:vAlign w:val="center"/>
          </w:tcPr>
          <w:p>
            <w:pPr>
              <w:spacing w:line="180" w:lineRule="exact"/>
              <w:ind w:firstLine="360" w:firstLineChars="200"/>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noWrap/>
            <w:vAlign w:val="center"/>
          </w:tcPr>
          <w:p>
            <w:pPr>
              <w:spacing w:line="360" w:lineRule="auto"/>
              <w:jc w:val="center"/>
              <w:rPr>
                <w:rFonts w:ascii="宋体" w:hAnsi="宋体" w:cs="宋体"/>
                <w:bCs/>
                <w:sz w:val="18"/>
                <w:szCs w:val="18"/>
              </w:rPr>
            </w:pPr>
          </w:p>
        </w:tc>
        <w:tc>
          <w:tcPr>
            <w:tcW w:w="2078" w:type="dxa"/>
            <w:tcBorders>
              <w:right w:val="single" w:color="auto" w:sz="4" w:space="0"/>
            </w:tcBorders>
            <w:noWrap/>
            <w:vAlign w:val="center"/>
          </w:tcPr>
          <w:p>
            <w:pPr>
              <w:spacing w:line="180" w:lineRule="exact"/>
              <w:jc w:val="center"/>
              <w:rPr>
                <w:rFonts w:ascii="宋体" w:hAnsi="宋体" w:cs="宋体"/>
                <w:bCs/>
                <w:sz w:val="18"/>
                <w:szCs w:val="18"/>
              </w:rPr>
            </w:pPr>
          </w:p>
        </w:tc>
        <w:tc>
          <w:tcPr>
            <w:tcW w:w="712" w:type="dxa"/>
            <w:tcBorders>
              <w:left w:val="single" w:color="auto" w:sz="4" w:space="0"/>
            </w:tcBorders>
            <w:noWrap/>
            <w:vAlign w:val="center"/>
          </w:tcPr>
          <w:p>
            <w:pPr>
              <w:spacing w:line="180" w:lineRule="exact"/>
              <w:jc w:val="center"/>
              <w:rPr>
                <w:rFonts w:ascii="宋体" w:hAnsi="宋体" w:cs="宋体"/>
                <w:bCs/>
                <w:sz w:val="18"/>
                <w:szCs w:val="18"/>
              </w:rPr>
            </w:pPr>
          </w:p>
        </w:tc>
        <w:tc>
          <w:tcPr>
            <w:tcW w:w="1013" w:type="dxa"/>
            <w:noWrap/>
            <w:vAlign w:val="center"/>
          </w:tcPr>
          <w:p>
            <w:pPr>
              <w:spacing w:line="180" w:lineRule="exact"/>
              <w:ind w:firstLine="360" w:firstLineChars="200"/>
              <w:rPr>
                <w:rFonts w:ascii="宋体" w:hAnsi="宋体" w:cs="宋体"/>
                <w:bCs/>
                <w:sz w:val="18"/>
                <w:szCs w:val="18"/>
              </w:rPr>
            </w:pPr>
          </w:p>
        </w:tc>
        <w:tc>
          <w:tcPr>
            <w:tcW w:w="791" w:type="dxa"/>
            <w:noWrap/>
            <w:vAlign w:val="center"/>
          </w:tcPr>
          <w:p>
            <w:pPr>
              <w:spacing w:line="180" w:lineRule="exact"/>
              <w:ind w:firstLine="360" w:firstLineChars="200"/>
              <w:rPr>
                <w:rFonts w:ascii="宋体" w:hAnsi="宋体" w:cs="宋体"/>
                <w:bCs/>
                <w:sz w:val="18"/>
                <w:szCs w:val="18"/>
              </w:rPr>
            </w:pPr>
          </w:p>
        </w:tc>
        <w:tc>
          <w:tcPr>
            <w:tcW w:w="1705" w:type="dxa"/>
            <w:noWrap/>
            <w:vAlign w:val="center"/>
          </w:tcPr>
          <w:p>
            <w:pPr>
              <w:spacing w:line="180" w:lineRule="exact"/>
              <w:ind w:firstLine="360" w:firstLineChars="200"/>
              <w:rPr>
                <w:rFonts w:ascii="宋体" w:hAnsi="宋体" w:cs="宋体"/>
                <w:bCs/>
                <w:sz w:val="18"/>
                <w:szCs w:val="18"/>
              </w:rPr>
            </w:pPr>
          </w:p>
        </w:tc>
        <w:tc>
          <w:tcPr>
            <w:tcW w:w="804" w:type="dxa"/>
            <w:tcBorders>
              <w:right w:val="single" w:color="auto" w:sz="4" w:space="0"/>
            </w:tcBorders>
            <w:noWrap/>
            <w:vAlign w:val="center"/>
          </w:tcPr>
          <w:p>
            <w:pPr>
              <w:spacing w:line="180" w:lineRule="exact"/>
              <w:ind w:firstLine="360" w:firstLineChars="200"/>
              <w:rPr>
                <w:rFonts w:ascii="宋体" w:hAnsi="宋体" w:cs="宋体"/>
                <w:bCs/>
                <w:sz w:val="18"/>
                <w:szCs w:val="18"/>
              </w:rPr>
            </w:pPr>
          </w:p>
        </w:tc>
        <w:tc>
          <w:tcPr>
            <w:tcW w:w="1935" w:type="dxa"/>
            <w:noWrap/>
            <w:vAlign w:val="center"/>
          </w:tcPr>
          <w:p>
            <w:pPr>
              <w:spacing w:line="180" w:lineRule="exact"/>
              <w:ind w:firstLine="360" w:firstLineChars="200"/>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noWrap/>
            <w:vAlign w:val="center"/>
          </w:tcPr>
          <w:p>
            <w:pPr>
              <w:spacing w:line="360" w:lineRule="auto"/>
              <w:jc w:val="center"/>
              <w:rPr>
                <w:rFonts w:ascii="宋体" w:hAnsi="宋体" w:cs="宋体"/>
                <w:bCs/>
                <w:sz w:val="18"/>
                <w:szCs w:val="18"/>
              </w:rPr>
            </w:pPr>
          </w:p>
        </w:tc>
        <w:tc>
          <w:tcPr>
            <w:tcW w:w="2078" w:type="dxa"/>
            <w:tcBorders>
              <w:right w:val="single" w:color="auto" w:sz="4" w:space="0"/>
            </w:tcBorders>
            <w:noWrap/>
            <w:vAlign w:val="center"/>
          </w:tcPr>
          <w:p>
            <w:pPr>
              <w:spacing w:line="180" w:lineRule="exact"/>
              <w:jc w:val="center"/>
              <w:rPr>
                <w:rFonts w:ascii="宋体" w:hAnsi="宋体" w:cs="宋体"/>
                <w:bCs/>
                <w:sz w:val="18"/>
                <w:szCs w:val="18"/>
              </w:rPr>
            </w:pPr>
          </w:p>
        </w:tc>
        <w:tc>
          <w:tcPr>
            <w:tcW w:w="712" w:type="dxa"/>
            <w:tcBorders>
              <w:left w:val="single" w:color="auto" w:sz="4" w:space="0"/>
            </w:tcBorders>
            <w:noWrap/>
            <w:vAlign w:val="center"/>
          </w:tcPr>
          <w:p>
            <w:pPr>
              <w:spacing w:line="180" w:lineRule="exact"/>
              <w:jc w:val="center"/>
              <w:rPr>
                <w:rFonts w:ascii="宋体" w:hAnsi="宋体" w:cs="宋体"/>
                <w:bCs/>
                <w:sz w:val="18"/>
                <w:szCs w:val="18"/>
              </w:rPr>
            </w:pPr>
          </w:p>
        </w:tc>
        <w:tc>
          <w:tcPr>
            <w:tcW w:w="1013" w:type="dxa"/>
            <w:noWrap/>
            <w:vAlign w:val="center"/>
          </w:tcPr>
          <w:p>
            <w:pPr>
              <w:spacing w:line="180" w:lineRule="exact"/>
              <w:ind w:firstLine="360" w:firstLineChars="200"/>
              <w:rPr>
                <w:rFonts w:ascii="宋体" w:hAnsi="宋体" w:cs="宋体"/>
                <w:bCs/>
                <w:sz w:val="18"/>
                <w:szCs w:val="18"/>
              </w:rPr>
            </w:pPr>
          </w:p>
        </w:tc>
        <w:tc>
          <w:tcPr>
            <w:tcW w:w="791" w:type="dxa"/>
            <w:noWrap/>
            <w:vAlign w:val="center"/>
          </w:tcPr>
          <w:p>
            <w:pPr>
              <w:spacing w:line="180" w:lineRule="exact"/>
              <w:ind w:firstLine="360" w:firstLineChars="200"/>
              <w:rPr>
                <w:rFonts w:ascii="宋体" w:hAnsi="宋体" w:cs="宋体"/>
                <w:bCs/>
                <w:sz w:val="18"/>
                <w:szCs w:val="18"/>
              </w:rPr>
            </w:pPr>
          </w:p>
        </w:tc>
        <w:tc>
          <w:tcPr>
            <w:tcW w:w="1705" w:type="dxa"/>
            <w:noWrap/>
            <w:vAlign w:val="center"/>
          </w:tcPr>
          <w:p>
            <w:pPr>
              <w:spacing w:line="180" w:lineRule="exact"/>
              <w:ind w:firstLine="360" w:firstLineChars="200"/>
              <w:rPr>
                <w:rFonts w:ascii="宋体" w:hAnsi="宋体" w:cs="宋体"/>
                <w:bCs/>
                <w:sz w:val="18"/>
                <w:szCs w:val="18"/>
              </w:rPr>
            </w:pPr>
          </w:p>
        </w:tc>
        <w:tc>
          <w:tcPr>
            <w:tcW w:w="804" w:type="dxa"/>
            <w:tcBorders>
              <w:right w:val="single" w:color="auto" w:sz="4" w:space="0"/>
            </w:tcBorders>
            <w:noWrap/>
            <w:vAlign w:val="center"/>
          </w:tcPr>
          <w:p>
            <w:pPr>
              <w:spacing w:line="180" w:lineRule="exact"/>
              <w:ind w:firstLine="360" w:firstLineChars="200"/>
              <w:rPr>
                <w:rFonts w:ascii="宋体" w:hAnsi="宋体" w:cs="宋体"/>
                <w:bCs/>
                <w:sz w:val="18"/>
                <w:szCs w:val="18"/>
              </w:rPr>
            </w:pPr>
          </w:p>
        </w:tc>
        <w:tc>
          <w:tcPr>
            <w:tcW w:w="1935" w:type="dxa"/>
            <w:noWrap/>
            <w:vAlign w:val="center"/>
          </w:tcPr>
          <w:p>
            <w:pPr>
              <w:spacing w:line="180" w:lineRule="exact"/>
              <w:ind w:firstLine="360" w:firstLineChars="200"/>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noWrap/>
            <w:vAlign w:val="center"/>
          </w:tcPr>
          <w:p>
            <w:pPr>
              <w:spacing w:line="360" w:lineRule="auto"/>
              <w:jc w:val="center"/>
              <w:rPr>
                <w:rFonts w:ascii="宋体" w:hAnsi="宋体" w:cs="宋体"/>
                <w:bCs/>
                <w:sz w:val="18"/>
                <w:szCs w:val="18"/>
              </w:rPr>
            </w:pPr>
          </w:p>
        </w:tc>
        <w:tc>
          <w:tcPr>
            <w:tcW w:w="2078" w:type="dxa"/>
            <w:tcBorders>
              <w:right w:val="single" w:color="auto" w:sz="4" w:space="0"/>
            </w:tcBorders>
            <w:noWrap/>
            <w:vAlign w:val="center"/>
          </w:tcPr>
          <w:p>
            <w:pPr>
              <w:spacing w:line="180" w:lineRule="exact"/>
              <w:jc w:val="center"/>
              <w:rPr>
                <w:rFonts w:ascii="宋体" w:hAnsi="宋体" w:cs="宋体"/>
                <w:bCs/>
                <w:sz w:val="18"/>
                <w:szCs w:val="18"/>
              </w:rPr>
            </w:pPr>
          </w:p>
        </w:tc>
        <w:tc>
          <w:tcPr>
            <w:tcW w:w="712" w:type="dxa"/>
            <w:tcBorders>
              <w:left w:val="single" w:color="auto" w:sz="4" w:space="0"/>
            </w:tcBorders>
            <w:noWrap/>
            <w:vAlign w:val="center"/>
          </w:tcPr>
          <w:p>
            <w:pPr>
              <w:spacing w:line="180" w:lineRule="exact"/>
              <w:jc w:val="center"/>
              <w:rPr>
                <w:rFonts w:ascii="宋体" w:hAnsi="宋体" w:cs="宋体"/>
                <w:bCs/>
                <w:sz w:val="18"/>
                <w:szCs w:val="18"/>
              </w:rPr>
            </w:pPr>
          </w:p>
        </w:tc>
        <w:tc>
          <w:tcPr>
            <w:tcW w:w="1013" w:type="dxa"/>
            <w:noWrap/>
            <w:vAlign w:val="center"/>
          </w:tcPr>
          <w:p>
            <w:pPr>
              <w:spacing w:line="180" w:lineRule="exact"/>
              <w:ind w:firstLine="360" w:firstLineChars="200"/>
              <w:rPr>
                <w:rFonts w:ascii="宋体" w:hAnsi="宋体" w:cs="宋体"/>
                <w:bCs/>
                <w:sz w:val="18"/>
                <w:szCs w:val="18"/>
              </w:rPr>
            </w:pPr>
          </w:p>
        </w:tc>
        <w:tc>
          <w:tcPr>
            <w:tcW w:w="791" w:type="dxa"/>
            <w:noWrap/>
            <w:vAlign w:val="center"/>
          </w:tcPr>
          <w:p>
            <w:pPr>
              <w:spacing w:line="180" w:lineRule="exact"/>
              <w:ind w:firstLine="360" w:firstLineChars="200"/>
              <w:rPr>
                <w:rFonts w:ascii="宋体" w:hAnsi="宋体" w:cs="宋体"/>
                <w:bCs/>
                <w:sz w:val="18"/>
                <w:szCs w:val="18"/>
              </w:rPr>
            </w:pPr>
          </w:p>
        </w:tc>
        <w:tc>
          <w:tcPr>
            <w:tcW w:w="1705" w:type="dxa"/>
            <w:noWrap/>
            <w:vAlign w:val="center"/>
          </w:tcPr>
          <w:p>
            <w:pPr>
              <w:spacing w:line="180" w:lineRule="exact"/>
              <w:ind w:firstLine="360" w:firstLineChars="200"/>
              <w:rPr>
                <w:rFonts w:ascii="宋体" w:hAnsi="宋体" w:cs="宋体"/>
                <w:bCs/>
                <w:sz w:val="18"/>
                <w:szCs w:val="18"/>
              </w:rPr>
            </w:pPr>
          </w:p>
        </w:tc>
        <w:tc>
          <w:tcPr>
            <w:tcW w:w="804" w:type="dxa"/>
            <w:tcBorders>
              <w:right w:val="single" w:color="auto" w:sz="4" w:space="0"/>
            </w:tcBorders>
            <w:noWrap/>
            <w:vAlign w:val="center"/>
          </w:tcPr>
          <w:p>
            <w:pPr>
              <w:spacing w:line="180" w:lineRule="exact"/>
              <w:ind w:firstLine="360" w:firstLineChars="200"/>
              <w:rPr>
                <w:rFonts w:ascii="宋体" w:hAnsi="宋体" w:cs="宋体"/>
                <w:bCs/>
                <w:sz w:val="18"/>
                <w:szCs w:val="18"/>
              </w:rPr>
            </w:pPr>
          </w:p>
        </w:tc>
        <w:tc>
          <w:tcPr>
            <w:tcW w:w="1935" w:type="dxa"/>
            <w:noWrap/>
            <w:vAlign w:val="center"/>
          </w:tcPr>
          <w:p>
            <w:pPr>
              <w:spacing w:line="180" w:lineRule="exact"/>
              <w:ind w:firstLine="360" w:firstLineChars="200"/>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noWrap/>
            <w:vAlign w:val="center"/>
          </w:tcPr>
          <w:p>
            <w:pPr>
              <w:spacing w:line="360" w:lineRule="auto"/>
              <w:jc w:val="center"/>
              <w:rPr>
                <w:rFonts w:ascii="宋体" w:hAnsi="宋体" w:cs="宋体"/>
                <w:bCs/>
                <w:sz w:val="18"/>
                <w:szCs w:val="18"/>
              </w:rPr>
            </w:pPr>
          </w:p>
        </w:tc>
        <w:tc>
          <w:tcPr>
            <w:tcW w:w="2078" w:type="dxa"/>
            <w:tcBorders>
              <w:right w:val="single" w:color="auto" w:sz="4" w:space="0"/>
            </w:tcBorders>
            <w:noWrap/>
            <w:vAlign w:val="center"/>
          </w:tcPr>
          <w:p>
            <w:pPr>
              <w:spacing w:line="180" w:lineRule="exact"/>
              <w:jc w:val="center"/>
              <w:rPr>
                <w:rFonts w:ascii="宋体" w:hAnsi="宋体" w:cs="宋体"/>
                <w:bCs/>
                <w:sz w:val="18"/>
                <w:szCs w:val="18"/>
              </w:rPr>
            </w:pPr>
          </w:p>
        </w:tc>
        <w:tc>
          <w:tcPr>
            <w:tcW w:w="712" w:type="dxa"/>
            <w:tcBorders>
              <w:left w:val="single" w:color="auto" w:sz="4" w:space="0"/>
            </w:tcBorders>
            <w:noWrap/>
            <w:vAlign w:val="center"/>
          </w:tcPr>
          <w:p>
            <w:pPr>
              <w:spacing w:line="180" w:lineRule="exact"/>
              <w:jc w:val="center"/>
              <w:rPr>
                <w:rFonts w:ascii="宋体" w:hAnsi="宋体" w:cs="宋体"/>
                <w:bCs/>
                <w:sz w:val="18"/>
                <w:szCs w:val="18"/>
              </w:rPr>
            </w:pPr>
          </w:p>
        </w:tc>
        <w:tc>
          <w:tcPr>
            <w:tcW w:w="1013" w:type="dxa"/>
            <w:noWrap/>
            <w:vAlign w:val="center"/>
          </w:tcPr>
          <w:p>
            <w:pPr>
              <w:spacing w:line="180" w:lineRule="exact"/>
              <w:ind w:firstLine="360" w:firstLineChars="200"/>
              <w:rPr>
                <w:rFonts w:ascii="宋体" w:hAnsi="宋体" w:cs="宋体"/>
                <w:bCs/>
                <w:sz w:val="18"/>
                <w:szCs w:val="18"/>
              </w:rPr>
            </w:pPr>
          </w:p>
        </w:tc>
        <w:tc>
          <w:tcPr>
            <w:tcW w:w="791" w:type="dxa"/>
            <w:noWrap/>
            <w:vAlign w:val="center"/>
          </w:tcPr>
          <w:p>
            <w:pPr>
              <w:spacing w:line="180" w:lineRule="exact"/>
              <w:ind w:firstLine="360" w:firstLineChars="200"/>
              <w:rPr>
                <w:rFonts w:ascii="宋体" w:hAnsi="宋体" w:cs="宋体"/>
                <w:bCs/>
                <w:sz w:val="18"/>
                <w:szCs w:val="18"/>
              </w:rPr>
            </w:pPr>
          </w:p>
        </w:tc>
        <w:tc>
          <w:tcPr>
            <w:tcW w:w="1705" w:type="dxa"/>
            <w:noWrap/>
            <w:vAlign w:val="center"/>
          </w:tcPr>
          <w:p>
            <w:pPr>
              <w:spacing w:line="180" w:lineRule="exact"/>
              <w:ind w:firstLine="360" w:firstLineChars="200"/>
              <w:rPr>
                <w:rFonts w:ascii="宋体" w:hAnsi="宋体" w:cs="宋体"/>
                <w:bCs/>
                <w:sz w:val="18"/>
                <w:szCs w:val="18"/>
              </w:rPr>
            </w:pPr>
          </w:p>
        </w:tc>
        <w:tc>
          <w:tcPr>
            <w:tcW w:w="804" w:type="dxa"/>
            <w:tcBorders>
              <w:right w:val="single" w:color="auto" w:sz="4" w:space="0"/>
            </w:tcBorders>
            <w:noWrap/>
            <w:vAlign w:val="center"/>
          </w:tcPr>
          <w:p>
            <w:pPr>
              <w:spacing w:line="180" w:lineRule="exact"/>
              <w:ind w:firstLine="360" w:firstLineChars="200"/>
              <w:rPr>
                <w:rFonts w:ascii="宋体" w:hAnsi="宋体" w:cs="宋体"/>
                <w:bCs/>
                <w:sz w:val="18"/>
                <w:szCs w:val="18"/>
              </w:rPr>
            </w:pPr>
          </w:p>
        </w:tc>
        <w:tc>
          <w:tcPr>
            <w:tcW w:w="1935" w:type="dxa"/>
            <w:noWrap/>
            <w:vAlign w:val="center"/>
          </w:tcPr>
          <w:p>
            <w:pPr>
              <w:spacing w:line="180" w:lineRule="exact"/>
              <w:ind w:firstLine="360" w:firstLineChars="200"/>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noWrap/>
            <w:vAlign w:val="center"/>
          </w:tcPr>
          <w:p>
            <w:pPr>
              <w:spacing w:line="360" w:lineRule="auto"/>
              <w:jc w:val="center"/>
              <w:rPr>
                <w:rFonts w:ascii="宋体" w:hAnsi="宋体" w:cs="宋体"/>
                <w:bCs/>
                <w:sz w:val="18"/>
                <w:szCs w:val="18"/>
              </w:rPr>
            </w:pPr>
          </w:p>
        </w:tc>
        <w:tc>
          <w:tcPr>
            <w:tcW w:w="2078" w:type="dxa"/>
            <w:tcBorders>
              <w:right w:val="single" w:color="auto" w:sz="4" w:space="0"/>
            </w:tcBorders>
            <w:noWrap/>
            <w:vAlign w:val="center"/>
          </w:tcPr>
          <w:p>
            <w:pPr>
              <w:spacing w:line="180" w:lineRule="exact"/>
              <w:jc w:val="center"/>
              <w:rPr>
                <w:rFonts w:ascii="宋体" w:hAnsi="宋体" w:cs="宋体"/>
                <w:bCs/>
                <w:sz w:val="18"/>
                <w:szCs w:val="18"/>
              </w:rPr>
            </w:pPr>
          </w:p>
        </w:tc>
        <w:tc>
          <w:tcPr>
            <w:tcW w:w="712" w:type="dxa"/>
            <w:tcBorders>
              <w:left w:val="single" w:color="auto" w:sz="4" w:space="0"/>
            </w:tcBorders>
            <w:noWrap/>
            <w:vAlign w:val="center"/>
          </w:tcPr>
          <w:p>
            <w:pPr>
              <w:spacing w:line="180" w:lineRule="exact"/>
              <w:jc w:val="center"/>
              <w:rPr>
                <w:rFonts w:ascii="宋体" w:hAnsi="宋体" w:cs="宋体"/>
                <w:bCs/>
                <w:sz w:val="18"/>
                <w:szCs w:val="18"/>
              </w:rPr>
            </w:pPr>
          </w:p>
        </w:tc>
        <w:tc>
          <w:tcPr>
            <w:tcW w:w="1013" w:type="dxa"/>
            <w:noWrap/>
            <w:vAlign w:val="center"/>
          </w:tcPr>
          <w:p>
            <w:pPr>
              <w:spacing w:line="180" w:lineRule="exact"/>
              <w:ind w:firstLine="360" w:firstLineChars="200"/>
              <w:rPr>
                <w:rFonts w:ascii="宋体" w:hAnsi="宋体" w:cs="宋体"/>
                <w:bCs/>
                <w:sz w:val="18"/>
                <w:szCs w:val="18"/>
              </w:rPr>
            </w:pPr>
          </w:p>
        </w:tc>
        <w:tc>
          <w:tcPr>
            <w:tcW w:w="791" w:type="dxa"/>
            <w:noWrap/>
            <w:vAlign w:val="center"/>
          </w:tcPr>
          <w:p>
            <w:pPr>
              <w:spacing w:line="180" w:lineRule="exact"/>
              <w:ind w:firstLine="360" w:firstLineChars="200"/>
              <w:rPr>
                <w:rFonts w:ascii="宋体" w:hAnsi="宋体" w:cs="宋体"/>
                <w:bCs/>
                <w:sz w:val="18"/>
                <w:szCs w:val="18"/>
              </w:rPr>
            </w:pPr>
          </w:p>
        </w:tc>
        <w:tc>
          <w:tcPr>
            <w:tcW w:w="1705" w:type="dxa"/>
            <w:noWrap/>
            <w:vAlign w:val="center"/>
          </w:tcPr>
          <w:p>
            <w:pPr>
              <w:spacing w:line="180" w:lineRule="exact"/>
              <w:ind w:firstLine="360" w:firstLineChars="200"/>
              <w:rPr>
                <w:rFonts w:ascii="宋体" w:hAnsi="宋体" w:cs="宋体"/>
                <w:bCs/>
                <w:sz w:val="18"/>
                <w:szCs w:val="18"/>
              </w:rPr>
            </w:pPr>
          </w:p>
        </w:tc>
        <w:tc>
          <w:tcPr>
            <w:tcW w:w="804" w:type="dxa"/>
            <w:tcBorders>
              <w:right w:val="single" w:color="auto" w:sz="4" w:space="0"/>
            </w:tcBorders>
            <w:noWrap/>
            <w:vAlign w:val="center"/>
          </w:tcPr>
          <w:p>
            <w:pPr>
              <w:spacing w:line="180" w:lineRule="exact"/>
              <w:ind w:firstLine="360" w:firstLineChars="200"/>
              <w:rPr>
                <w:rFonts w:ascii="宋体" w:hAnsi="宋体" w:cs="宋体"/>
                <w:bCs/>
                <w:sz w:val="18"/>
                <w:szCs w:val="18"/>
              </w:rPr>
            </w:pPr>
          </w:p>
        </w:tc>
        <w:tc>
          <w:tcPr>
            <w:tcW w:w="1935" w:type="dxa"/>
            <w:noWrap/>
            <w:vAlign w:val="center"/>
          </w:tcPr>
          <w:p>
            <w:pPr>
              <w:spacing w:line="180" w:lineRule="exact"/>
              <w:ind w:firstLine="360" w:firstLineChars="200"/>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noWrap/>
            <w:vAlign w:val="center"/>
          </w:tcPr>
          <w:p>
            <w:pPr>
              <w:spacing w:line="360" w:lineRule="auto"/>
              <w:jc w:val="center"/>
              <w:rPr>
                <w:rFonts w:ascii="宋体" w:hAnsi="宋体" w:cs="宋体"/>
                <w:bCs/>
                <w:sz w:val="18"/>
                <w:szCs w:val="18"/>
              </w:rPr>
            </w:pPr>
          </w:p>
        </w:tc>
        <w:tc>
          <w:tcPr>
            <w:tcW w:w="2078" w:type="dxa"/>
            <w:tcBorders>
              <w:right w:val="single" w:color="auto" w:sz="4" w:space="0"/>
            </w:tcBorders>
            <w:noWrap/>
            <w:vAlign w:val="center"/>
          </w:tcPr>
          <w:p>
            <w:pPr>
              <w:spacing w:line="180" w:lineRule="exact"/>
              <w:jc w:val="center"/>
              <w:rPr>
                <w:rFonts w:ascii="宋体" w:hAnsi="宋体" w:cs="宋体"/>
                <w:bCs/>
                <w:sz w:val="18"/>
                <w:szCs w:val="18"/>
              </w:rPr>
            </w:pPr>
          </w:p>
        </w:tc>
        <w:tc>
          <w:tcPr>
            <w:tcW w:w="712" w:type="dxa"/>
            <w:tcBorders>
              <w:left w:val="single" w:color="auto" w:sz="4" w:space="0"/>
            </w:tcBorders>
            <w:noWrap/>
            <w:vAlign w:val="center"/>
          </w:tcPr>
          <w:p>
            <w:pPr>
              <w:spacing w:line="180" w:lineRule="exact"/>
              <w:jc w:val="center"/>
              <w:rPr>
                <w:rFonts w:ascii="宋体" w:hAnsi="宋体" w:cs="宋体"/>
                <w:bCs/>
                <w:sz w:val="18"/>
                <w:szCs w:val="18"/>
              </w:rPr>
            </w:pPr>
          </w:p>
        </w:tc>
        <w:tc>
          <w:tcPr>
            <w:tcW w:w="1013" w:type="dxa"/>
            <w:noWrap/>
            <w:vAlign w:val="center"/>
          </w:tcPr>
          <w:p>
            <w:pPr>
              <w:spacing w:line="180" w:lineRule="exact"/>
              <w:ind w:firstLine="360" w:firstLineChars="200"/>
              <w:rPr>
                <w:rFonts w:ascii="宋体" w:hAnsi="宋体" w:cs="宋体"/>
                <w:bCs/>
                <w:sz w:val="18"/>
                <w:szCs w:val="18"/>
              </w:rPr>
            </w:pPr>
          </w:p>
        </w:tc>
        <w:tc>
          <w:tcPr>
            <w:tcW w:w="791" w:type="dxa"/>
            <w:noWrap/>
            <w:vAlign w:val="center"/>
          </w:tcPr>
          <w:p>
            <w:pPr>
              <w:spacing w:line="180" w:lineRule="exact"/>
              <w:ind w:firstLine="360" w:firstLineChars="200"/>
              <w:rPr>
                <w:rFonts w:ascii="宋体" w:hAnsi="宋体" w:cs="宋体"/>
                <w:bCs/>
                <w:sz w:val="18"/>
                <w:szCs w:val="18"/>
              </w:rPr>
            </w:pPr>
          </w:p>
        </w:tc>
        <w:tc>
          <w:tcPr>
            <w:tcW w:w="1705" w:type="dxa"/>
            <w:noWrap/>
            <w:vAlign w:val="center"/>
          </w:tcPr>
          <w:p>
            <w:pPr>
              <w:spacing w:line="180" w:lineRule="exact"/>
              <w:ind w:firstLine="360" w:firstLineChars="200"/>
              <w:rPr>
                <w:rFonts w:ascii="宋体" w:hAnsi="宋体" w:cs="宋体"/>
                <w:bCs/>
                <w:sz w:val="18"/>
                <w:szCs w:val="18"/>
              </w:rPr>
            </w:pPr>
          </w:p>
        </w:tc>
        <w:tc>
          <w:tcPr>
            <w:tcW w:w="804" w:type="dxa"/>
            <w:tcBorders>
              <w:right w:val="single" w:color="auto" w:sz="4" w:space="0"/>
            </w:tcBorders>
            <w:noWrap/>
            <w:vAlign w:val="center"/>
          </w:tcPr>
          <w:p>
            <w:pPr>
              <w:spacing w:line="180" w:lineRule="exact"/>
              <w:ind w:firstLine="360" w:firstLineChars="200"/>
              <w:rPr>
                <w:rFonts w:ascii="宋体" w:hAnsi="宋体" w:cs="宋体"/>
                <w:bCs/>
                <w:sz w:val="18"/>
                <w:szCs w:val="18"/>
              </w:rPr>
            </w:pPr>
          </w:p>
        </w:tc>
        <w:tc>
          <w:tcPr>
            <w:tcW w:w="1935" w:type="dxa"/>
            <w:noWrap/>
            <w:vAlign w:val="center"/>
          </w:tcPr>
          <w:p>
            <w:pPr>
              <w:spacing w:line="180" w:lineRule="exact"/>
              <w:ind w:firstLine="360" w:firstLineChars="200"/>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80" w:hRule="atLeast"/>
          <w:jc w:val="center"/>
        </w:trPr>
        <w:tc>
          <w:tcPr>
            <w:tcW w:w="479" w:type="dxa"/>
            <w:noWrap/>
            <w:vAlign w:val="center"/>
          </w:tcPr>
          <w:p>
            <w:pPr>
              <w:spacing w:line="360" w:lineRule="auto"/>
              <w:jc w:val="center"/>
              <w:rPr>
                <w:rFonts w:ascii="宋体" w:hAnsi="宋体" w:cs="宋体"/>
                <w:bCs/>
                <w:sz w:val="18"/>
                <w:szCs w:val="18"/>
              </w:rPr>
            </w:pPr>
          </w:p>
        </w:tc>
        <w:tc>
          <w:tcPr>
            <w:tcW w:w="2078" w:type="dxa"/>
            <w:tcBorders>
              <w:right w:val="single" w:color="auto" w:sz="4" w:space="0"/>
            </w:tcBorders>
            <w:noWrap/>
            <w:vAlign w:val="center"/>
          </w:tcPr>
          <w:p>
            <w:pPr>
              <w:spacing w:line="180" w:lineRule="exact"/>
              <w:jc w:val="center"/>
              <w:rPr>
                <w:rFonts w:ascii="宋体" w:hAnsi="宋体" w:cs="宋体"/>
                <w:bCs/>
                <w:sz w:val="18"/>
                <w:szCs w:val="18"/>
              </w:rPr>
            </w:pPr>
          </w:p>
        </w:tc>
        <w:tc>
          <w:tcPr>
            <w:tcW w:w="712" w:type="dxa"/>
            <w:tcBorders>
              <w:left w:val="single" w:color="auto" w:sz="4" w:space="0"/>
            </w:tcBorders>
            <w:noWrap/>
            <w:vAlign w:val="center"/>
          </w:tcPr>
          <w:p>
            <w:pPr>
              <w:spacing w:line="180" w:lineRule="exact"/>
              <w:jc w:val="center"/>
              <w:rPr>
                <w:rFonts w:ascii="宋体" w:hAnsi="宋体" w:cs="宋体"/>
                <w:bCs/>
                <w:sz w:val="18"/>
                <w:szCs w:val="18"/>
              </w:rPr>
            </w:pPr>
          </w:p>
        </w:tc>
        <w:tc>
          <w:tcPr>
            <w:tcW w:w="1013" w:type="dxa"/>
            <w:noWrap/>
            <w:vAlign w:val="center"/>
          </w:tcPr>
          <w:p>
            <w:pPr>
              <w:spacing w:line="180" w:lineRule="exact"/>
              <w:ind w:firstLine="360" w:firstLineChars="200"/>
              <w:rPr>
                <w:rFonts w:ascii="宋体" w:hAnsi="宋体" w:cs="宋体"/>
                <w:bCs/>
                <w:sz w:val="18"/>
                <w:szCs w:val="18"/>
              </w:rPr>
            </w:pPr>
          </w:p>
        </w:tc>
        <w:tc>
          <w:tcPr>
            <w:tcW w:w="791" w:type="dxa"/>
            <w:noWrap/>
            <w:vAlign w:val="center"/>
          </w:tcPr>
          <w:p>
            <w:pPr>
              <w:spacing w:line="180" w:lineRule="exact"/>
              <w:ind w:firstLine="360" w:firstLineChars="200"/>
              <w:rPr>
                <w:rFonts w:ascii="宋体" w:hAnsi="宋体" w:cs="宋体"/>
                <w:bCs/>
                <w:sz w:val="18"/>
                <w:szCs w:val="18"/>
              </w:rPr>
            </w:pPr>
          </w:p>
        </w:tc>
        <w:tc>
          <w:tcPr>
            <w:tcW w:w="1705" w:type="dxa"/>
            <w:tcBorders>
              <w:right w:val="single" w:color="auto" w:sz="4" w:space="0"/>
            </w:tcBorders>
            <w:noWrap/>
            <w:vAlign w:val="center"/>
          </w:tcPr>
          <w:p>
            <w:pPr>
              <w:spacing w:line="180" w:lineRule="exact"/>
              <w:ind w:firstLine="360" w:firstLineChars="200"/>
              <w:rPr>
                <w:rFonts w:ascii="宋体" w:hAnsi="宋体" w:cs="宋体"/>
                <w:bCs/>
                <w:sz w:val="18"/>
                <w:szCs w:val="18"/>
              </w:rPr>
            </w:pPr>
          </w:p>
        </w:tc>
        <w:tc>
          <w:tcPr>
            <w:tcW w:w="804" w:type="dxa"/>
            <w:tcBorders>
              <w:left w:val="single" w:color="auto" w:sz="4" w:space="0"/>
              <w:right w:val="single" w:color="auto" w:sz="4" w:space="0"/>
            </w:tcBorders>
            <w:noWrap/>
            <w:vAlign w:val="center"/>
          </w:tcPr>
          <w:p>
            <w:pPr>
              <w:spacing w:line="180" w:lineRule="exact"/>
              <w:ind w:firstLine="360" w:firstLineChars="200"/>
              <w:rPr>
                <w:rFonts w:ascii="宋体" w:hAnsi="宋体" w:cs="宋体"/>
                <w:bCs/>
                <w:sz w:val="18"/>
                <w:szCs w:val="18"/>
              </w:rPr>
            </w:pPr>
          </w:p>
        </w:tc>
        <w:tc>
          <w:tcPr>
            <w:tcW w:w="1935" w:type="dxa"/>
            <w:noWrap/>
            <w:vAlign w:val="center"/>
          </w:tcPr>
          <w:p>
            <w:pPr>
              <w:spacing w:line="180" w:lineRule="exact"/>
              <w:ind w:firstLine="360" w:firstLineChars="200"/>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80" w:hRule="atLeast"/>
          <w:jc w:val="center"/>
        </w:trPr>
        <w:tc>
          <w:tcPr>
            <w:tcW w:w="3269" w:type="dxa"/>
            <w:gridSpan w:val="3"/>
            <w:tcBorders>
              <w:right w:val="single" w:color="auto" w:sz="4" w:space="0"/>
            </w:tcBorders>
            <w:noWrap/>
            <w:vAlign w:val="center"/>
          </w:tcPr>
          <w:p>
            <w:pPr>
              <w:spacing w:line="360" w:lineRule="auto"/>
              <w:ind w:firstLine="360" w:firstLineChars="200"/>
              <w:jc w:val="center"/>
              <w:rPr>
                <w:rFonts w:ascii="宋体" w:hAnsi="宋体" w:cs="宋体"/>
                <w:bCs/>
                <w:sz w:val="18"/>
                <w:szCs w:val="18"/>
              </w:rPr>
            </w:pPr>
            <w:r>
              <w:rPr>
                <w:rFonts w:hint="eastAsia" w:ascii="宋体" w:hAnsi="宋体" w:cs="宋体"/>
                <w:bCs/>
                <w:sz w:val="18"/>
                <w:szCs w:val="18"/>
              </w:rPr>
              <w:t>总计（投标总价）：</w:t>
            </w:r>
          </w:p>
        </w:tc>
        <w:tc>
          <w:tcPr>
            <w:tcW w:w="6248" w:type="dxa"/>
            <w:gridSpan w:val="5"/>
            <w:tcBorders>
              <w:left w:val="single" w:color="auto" w:sz="4" w:space="0"/>
            </w:tcBorders>
            <w:noWrap/>
            <w:vAlign w:val="center"/>
          </w:tcPr>
          <w:p>
            <w:pPr>
              <w:spacing w:line="360" w:lineRule="auto"/>
              <w:ind w:firstLine="360" w:firstLineChars="200"/>
              <w:rPr>
                <w:rFonts w:ascii="宋体" w:hAnsi="宋体" w:cs="宋体"/>
                <w:bCs/>
                <w:sz w:val="18"/>
                <w:szCs w:val="18"/>
              </w:rPr>
            </w:pPr>
            <w:r>
              <w:rPr>
                <w:rFonts w:hint="eastAsia" w:ascii="宋体" w:hAnsi="宋体" w:cs="宋体"/>
                <w:bCs/>
                <w:sz w:val="18"/>
                <w:szCs w:val="18"/>
              </w:rPr>
              <w:t>人民币大写：                      小写：</w:t>
            </w:r>
          </w:p>
        </w:tc>
      </w:tr>
    </w:tbl>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投标单位全称（公章）：</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单位负责人或授权代理人（签字）：</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时间：</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日</w:t>
      </w:r>
    </w:p>
    <w:p>
      <w:pPr>
        <w:spacing w:line="360" w:lineRule="auto"/>
        <w:rPr>
          <w:rFonts w:ascii="宋体" w:hAnsi="宋体" w:cs="宋体"/>
          <w:color w:val="auto"/>
          <w:sz w:val="24"/>
          <w:highlight w:val="none"/>
        </w:rPr>
      </w:pPr>
      <w:r>
        <w:rPr>
          <w:rFonts w:hint="eastAsia" w:ascii="宋体" w:hAnsi="宋体" w:cs="宋体"/>
          <w:color w:val="auto"/>
          <w:sz w:val="24"/>
          <w:highlight w:val="none"/>
        </w:rPr>
        <w:t>说明：</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1.与本项目有关的各种费用均应包含在总报价中。</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2.如果投标人提供价格折扣优惠，应在表中明确填列。</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3.如果与货物需求和技术规格、商务条款的要求有偏差，应填写“投标货物及技术规格偏离表、商务条款偏离表”（见格式四）。</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4.要说明的问题可另附页说明并签字和加盖公章。</w:t>
      </w:r>
    </w:p>
    <w:p>
      <w:pPr>
        <w:spacing w:line="360" w:lineRule="auto"/>
        <w:ind w:firstLine="480" w:firstLineChars="200"/>
        <w:outlineLvl w:val="0"/>
        <w:rPr>
          <w:rFonts w:ascii="宋体" w:hAnsi="宋体" w:cs="宋体"/>
          <w:color w:val="auto"/>
          <w:sz w:val="24"/>
          <w:highlight w:val="none"/>
        </w:rPr>
      </w:pPr>
      <w:bookmarkStart w:id="104" w:name="_Toc29468"/>
      <w:bookmarkStart w:id="105" w:name="_Toc8658"/>
      <w:r>
        <w:rPr>
          <w:rFonts w:hint="eastAsia" w:ascii="宋体" w:hAnsi="宋体" w:cs="宋体"/>
          <w:color w:val="auto"/>
          <w:sz w:val="24"/>
          <w:highlight w:val="none"/>
        </w:rPr>
        <w:t>5.此表可根据需要自行拉长加宽。</w:t>
      </w:r>
      <w:bookmarkEnd w:id="104"/>
      <w:bookmarkEnd w:id="105"/>
    </w:p>
    <w:p>
      <w:pPr>
        <w:spacing w:line="360" w:lineRule="auto"/>
        <w:outlineLvl w:val="9"/>
        <w:rPr>
          <w:rFonts w:ascii="仿宋_GB2312" w:hAnsi="宋体" w:eastAsia="仿宋_GB2312"/>
          <w:color w:val="auto"/>
          <w:sz w:val="24"/>
          <w:highlight w:val="none"/>
        </w:rPr>
      </w:pPr>
    </w:p>
    <w:p>
      <w:pPr>
        <w:spacing w:line="360" w:lineRule="auto"/>
        <w:outlineLvl w:val="9"/>
        <w:rPr>
          <w:rFonts w:ascii="仿宋_GB2312" w:hAnsi="宋体" w:eastAsia="仿宋_GB2312"/>
          <w:color w:val="auto"/>
          <w:sz w:val="24"/>
          <w:highlight w:val="none"/>
        </w:rPr>
      </w:pPr>
    </w:p>
    <w:p>
      <w:pPr>
        <w:spacing w:line="360" w:lineRule="auto"/>
        <w:outlineLvl w:val="9"/>
        <w:rPr>
          <w:rFonts w:ascii="仿宋_GB2312" w:hAnsi="宋体" w:eastAsia="仿宋_GB2312"/>
          <w:color w:val="auto"/>
          <w:sz w:val="24"/>
          <w:highlight w:val="none"/>
        </w:rPr>
      </w:pPr>
    </w:p>
    <w:p>
      <w:pPr>
        <w:spacing w:line="360" w:lineRule="auto"/>
        <w:outlineLvl w:val="9"/>
        <w:rPr>
          <w:rFonts w:ascii="仿宋_GB2312" w:hAnsi="宋体" w:eastAsia="仿宋_GB2312"/>
          <w:b/>
          <w:color w:val="auto"/>
          <w:sz w:val="24"/>
          <w:szCs w:val="28"/>
          <w:highlight w:val="none"/>
        </w:rPr>
        <w:sectPr>
          <w:footerReference r:id="rId8" w:type="default"/>
          <w:pgSz w:w="11906" w:h="16838"/>
          <w:pgMar w:top="1361" w:right="1304" w:bottom="1247" w:left="1304" w:header="680" w:footer="680" w:gutter="0"/>
          <w:cols w:space="720" w:num="1"/>
          <w:docGrid w:linePitch="312" w:charSpace="0"/>
        </w:sectPr>
      </w:pPr>
    </w:p>
    <w:p>
      <w:pPr>
        <w:spacing w:line="360" w:lineRule="auto"/>
        <w:rPr>
          <w:rFonts w:ascii="宋体" w:hAnsi="宋体" w:cs="宋体"/>
          <w:b/>
          <w:color w:val="auto"/>
          <w:sz w:val="24"/>
          <w:szCs w:val="28"/>
          <w:highlight w:val="none"/>
        </w:rPr>
      </w:pPr>
      <w:r>
        <w:rPr>
          <w:rFonts w:hint="eastAsia" w:ascii="宋体" w:hAnsi="宋体" w:cs="宋体"/>
          <w:b/>
          <w:color w:val="auto"/>
          <w:sz w:val="24"/>
          <w:szCs w:val="28"/>
          <w:highlight w:val="none"/>
        </w:rPr>
        <w:t>格式四：</w:t>
      </w:r>
    </w:p>
    <w:p>
      <w:pPr>
        <w:spacing w:line="360" w:lineRule="auto"/>
        <w:jc w:val="center"/>
        <w:rPr>
          <w:rFonts w:ascii="宋体" w:hAnsi="宋体" w:cs="宋体"/>
          <w:b/>
          <w:color w:val="auto"/>
          <w:sz w:val="24"/>
          <w:szCs w:val="28"/>
          <w:highlight w:val="none"/>
        </w:rPr>
      </w:pPr>
      <w:r>
        <w:rPr>
          <w:rFonts w:hint="eastAsia" w:ascii="宋体" w:hAnsi="宋体" w:cs="宋体"/>
          <w:b/>
          <w:color w:val="auto"/>
          <w:sz w:val="24"/>
          <w:szCs w:val="28"/>
          <w:highlight w:val="none"/>
        </w:rPr>
        <w:t>投标货物及技术规格偏离表（格式）</w:t>
      </w:r>
    </w:p>
    <w:p>
      <w:pPr>
        <w:spacing w:line="360" w:lineRule="auto"/>
        <w:jc w:val="center"/>
        <w:outlineLvl w:val="9"/>
        <w:rPr>
          <w:rFonts w:ascii="仿宋_GB2312" w:hAnsi="宋体" w:eastAsia="仿宋_GB2312"/>
          <w:b/>
          <w:color w:val="auto"/>
          <w:sz w:val="24"/>
          <w:szCs w:val="28"/>
          <w:highlight w:val="none"/>
        </w:rPr>
      </w:pPr>
    </w:p>
    <w:p>
      <w:pPr>
        <w:spacing w:line="360" w:lineRule="auto"/>
        <w:jc w:val="center"/>
        <w:outlineLvl w:val="9"/>
        <w:rPr>
          <w:rFonts w:ascii="仿宋_GB2312" w:hAnsi="宋体" w:eastAsia="仿宋_GB2312"/>
          <w:b/>
          <w:color w:val="auto"/>
          <w:sz w:val="24"/>
          <w:szCs w:val="28"/>
          <w:highlight w:val="none"/>
        </w:rPr>
      </w:pPr>
    </w:p>
    <w:p>
      <w:pPr>
        <w:pStyle w:val="12"/>
        <w:spacing w:line="360" w:lineRule="auto"/>
        <w:ind w:firstLine="480" w:firstLineChars="200"/>
        <w:outlineLvl w:val="0"/>
        <w:rPr>
          <w:rFonts w:ascii="宋体" w:hAnsi="宋体" w:cs="宋体"/>
          <w:color w:val="auto"/>
          <w:szCs w:val="24"/>
          <w:highlight w:val="none"/>
        </w:rPr>
      </w:pPr>
      <w:bookmarkStart w:id="106" w:name="_Toc18914"/>
      <w:bookmarkStart w:id="107" w:name="_Toc17094"/>
      <w:r>
        <w:rPr>
          <w:rFonts w:hint="eastAsia" w:ascii="宋体" w:hAnsi="宋体" w:cs="宋体"/>
          <w:color w:val="auto"/>
          <w:szCs w:val="24"/>
          <w:highlight w:val="none"/>
        </w:rPr>
        <w:t>项目名称：</w:t>
      </w:r>
      <w:r>
        <w:rPr>
          <w:rFonts w:hint="eastAsia" w:ascii="宋体" w:hAnsi="宋体" w:cs="宋体"/>
          <w:color w:val="auto"/>
          <w:szCs w:val="24"/>
          <w:highlight w:val="none"/>
          <w:lang w:val="en-US" w:eastAsia="zh-CN"/>
        </w:rPr>
        <w:t xml:space="preserve">                  </w:t>
      </w:r>
      <w:r>
        <w:rPr>
          <w:rFonts w:hint="eastAsia" w:ascii="宋体" w:hAnsi="宋体" w:cs="宋体"/>
          <w:color w:val="auto"/>
          <w:szCs w:val="24"/>
          <w:highlight w:val="none"/>
        </w:rPr>
        <w:t>包：</w:t>
      </w:r>
      <w:r>
        <w:rPr>
          <w:rFonts w:hint="eastAsia" w:ascii="宋体" w:hAnsi="宋体" w:cs="宋体"/>
          <w:color w:val="auto"/>
          <w:szCs w:val="24"/>
          <w:highlight w:val="none"/>
          <w:lang w:val="en-US" w:eastAsia="zh-CN"/>
        </w:rPr>
        <w:t xml:space="preserve">               </w:t>
      </w:r>
      <w:r>
        <w:rPr>
          <w:rFonts w:hint="eastAsia" w:ascii="宋体" w:hAnsi="宋体" w:cs="宋体"/>
          <w:color w:val="auto"/>
          <w:szCs w:val="24"/>
          <w:highlight w:val="none"/>
        </w:rPr>
        <w:t>项目编号：</w:t>
      </w:r>
      <w:bookmarkEnd w:id="106"/>
      <w:bookmarkEnd w:id="107"/>
    </w:p>
    <w:tbl>
      <w:tblPr>
        <w:tblStyle w:val="22"/>
        <w:tblW w:w="47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043"/>
        <w:gridCol w:w="2451"/>
        <w:gridCol w:w="3052"/>
        <w:gridCol w:w="802"/>
        <w:gridCol w:w="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9" w:hRule="atLeast"/>
          <w:jc w:val="center"/>
        </w:trPr>
        <w:tc>
          <w:tcPr>
            <w:tcW w:w="360" w:type="pct"/>
            <w:noWrap/>
            <w:vAlign w:val="center"/>
          </w:tcPr>
          <w:p>
            <w:pPr>
              <w:spacing w:line="360" w:lineRule="auto"/>
              <w:jc w:val="center"/>
              <w:outlineLvl w:val="0"/>
              <w:rPr>
                <w:rFonts w:ascii="宋体" w:hAnsi="宋体" w:cs="宋体"/>
                <w:color w:val="auto"/>
                <w:sz w:val="24"/>
                <w:highlight w:val="none"/>
              </w:rPr>
            </w:pPr>
            <w:bookmarkStart w:id="108" w:name="_Toc20173"/>
            <w:bookmarkStart w:id="109" w:name="_Toc23902"/>
            <w:r>
              <w:rPr>
                <w:rFonts w:hint="eastAsia" w:ascii="宋体" w:hAnsi="宋体" w:cs="宋体"/>
                <w:color w:val="auto"/>
                <w:sz w:val="24"/>
                <w:highlight w:val="none"/>
              </w:rPr>
              <w:t>序号</w:t>
            </w:r>
            <w:bookmarkEnd w:id="108"/>
            <w:bookmarkEnd w:id="109"/>
          </w:p>
        </w:tc>
        <w:tc>
          <w:tcPr>
            <w:tcW w:w="582" w:type="pct"/>
            <w:noWrap/>
            <w:vAlign w:val="center"/>
          </w:tcPr>
          <w:p>
            <w:pPr>
              <w:spacing w:line="360" w:lineRule="auto"/>
              <w:jc w:val="center"/>
              <w:outlineLvl w:val="0"/>
              <w:rPr>
                <w:rFonts w:ascii="宋体" w:hAnsi="宋体" w:cs="宋体"/>
                <w:color w:val="auto"/>
                <w:sz w:val="24"/>
                <w:highlight w:val="none"/>
              </w:rPr>
            </w:pPr>
            <w:bookmarkStart w:id="110" w:name="_Toc493"/>
            <w:bookmarkStart w:id="111" w:name="_Toc29259"/>
            <w:r>
              <w:rPr>
                <w:rFonts w:hint="eastAsia" w:ascii="宋体" w:hAnsi="宋体" w:cs="宋体"/>
                <w:color w:val="auto"/>
                <w:sz w:val="24"/>
                <w:highlight w:val="none"/>
              </w:rPr>
              <w:t>货物名称</w:t>
            </w:r>
            <w:bookmarkEnd w:id="110"/>
            <w:bookmarkEnd w:id="111"/>
          </w:p>
        </w:tc>
        <w:tc>
          <w:tcPr>
            <w:tcW w:w="1367" w:type="pct"/>
            <w:noWrap/>
            <w:vAlign w:val="center"/>
          </w:tcPr>
          <w:p>
            <w:pPr>
              <w:spacing w:line="360" w:lineRule="auto"/>
              <w:jc w:val="center"/>
              <w:outlineLvl w:val="0"/>
              <w:rPr>
                <w:rFonts w:ascii="宋体" w:hAnsi="宋体" w:cs="宋体"/>
                <w:color w:val="auto"/>
                <w:sz w:val="24"/>
                <w:highlight w:val="none"/>
              </w:rPr>
            </w:pPr>
            <w:bookmarkStart w:id="112" w:name="_Toc18240"/>
            <w:bookmarkStart w:id="113" w:name="_Toc12588"/>
            <w:r>
              <w:rPr>
                <w:rFonts w:hint="eastAsia" w:ascii="宋体" w:hAnsi="宋体" w:cs="宋体"/>
                <w:color w:val="auto"/>
                <w:sz w:val="24"/>
                <w:highlight w:val="none"/>
              </w:rPr>
              <w:t>招标文件规定的货物需求、技术规格</w:t>
            </w:r>
            <w:bookmarkEnd w:id="112"/>
            <w:bookmarkEnd w:id="113"/>
          </w:p>
        </w:tc>
        <w:tc>
          <w:tcPr>
            <w:tcW w:w="1703" w:type="pct"/>
            <w:noWrap/>
            <w:vAlign w:val="center"/>
          </w:tcPr>
          <w:p>
            <w:pPr>
              <w:spacing w:line="360" w:lineRule="auto"/>
              <w:jc w:val="center"/>
              <w:outlineLvl w:val="0"/>
              <w:rPr>
                <w:rFonts w:ascii="宋体" w:hAnsi="宋体" w:cs="宋体"/>
                <w:color w:val="auto"/>
                <w:sz w:val="24"/>
                <w:highlight w:val="none"/>
              </w:rPr>
            </w:pPr>
            <w:bookmarkStart w:id="114" w:name="_Toc18304"/>
            <w:bookmarkStart w:id="115" w:name="_Toc7891"/>
            <w:r>
              <w:rPr>
                <w:rFonts w:hint="eastAsia" w:ascii="宋体" w:hAnsi="宋体" w:cs="宋体"/>
                <w:color w:val="auto"/>
                <w:sz w:val="24"/>
                <w:highlight w:val="none"/>
              </w:rPr>
              <w:t>投标文件对应的货物情况、技术规格</w:t>
            </w:r>
            <w:bookmarkEnd w:id="114"/>
            <w:bookmarkEnd w:id="115"/>
          </w:p>
        </w:tc>
        <w:tc>
          <w:tcPr>
            <w:tcW w:w="448" w:type="pct"/>
            <w:noWrap/>
            <w:vAlign w:val="center"/>
          </w:tcPr>
          <w:p>
            <w:pPr>
              <w:spacing w:line="360" w:lineRule="auto"/>
              <w:jc w:val="center"/>
              <w:outlineLvl w:val="0"/>
              <w:rPr>
                <w:rFonts w:ascii="宋体" w:hAnsi="宋体" w:cs="宋体"/>
                <w:color w:val="auto"/>
                <w:sz w:val="24"/>
                <w:highlight w:val="none"/>
              </w:rPr>
            </w:pPr>
            <w:bookmarkStart w:id="116" w:name="_Toc11556"/>
            <w:bookmarkStart w:id="117" w:name="_Toc20759"/>
            <w:r>
              <w:rPr>
                <w:rFonts w:hint="eastAsia" w:ascii="宋体" w:hAnsi="宋体" w:cs="宋体"/>
                <w:color w:val="auto"/>
                <w:sz w:val="24"/>
                <w:highlight w:val="none"/>
              </w:rPr>
              <w:t>是否偏离</w:t>
            </w:r>
            <w:bookmarkEnd w:id="116"/>
            <w:bookmarkEnd w:id="117"/>
          </w:p>
        </w:tc>
        <w:tc>
          <w:tcPr>
            <w:tcW w:w="537" w:type="pct"/>
            <w:noWrap/>
            <w:vAlign w:val="center"/>
          </w:tcPr>
          <w:p>
            <w:pPr>
              <w:spacing w:line="360" w:lineRule="auto"/>
              <w:jc w:val="center"/>
              <w:outlineLvl w:val="0"/>
              <w:rPr>
                <w:rFonts w:ascii="宋体" w:hAnsi="宋体" w:cs="宋体"/>
                <w:color w:val="auto"/>
                <w:sz w:val="24"/>
                <w:highlight w:val="none"/>
              </w:rPr>
            </w:pPr>
            <w:bookmarkStart w:id="118" w:name="_Toc24594"/>
            <w:bookmarkStart w:id="119" w:name="_Toc15936"/>
            <w:r>
              <w:rPr>
                <w:rFonts w:hint="eastAsia" w:ascii="宋体" w:hAnsi="宋体" w:cs="宋体"/>
                <w:color w:val="auto"/>
                <w:sz w:val="24"/>
                <w:highlight w:val="none"/>
              </w:rPr>
              <w:t>备注</w:t>
            </w:r>
            <w:bookmarkEnd w:id="118"/>
            <w:bookmarkEnd w:id="1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360" w:type="pct"/>
            <w:noWrap/>
          </w:tcPr>
          <w:p>
            <w:pPr>
              <w:spacing w:line="360" w:lineRule="auto"/>
              <w:outlineLvl w:val="9"/>
              <w:rPr>
                <w:rFonts w:ascii="宋体" w:hAnsi="宋体" w:cs="宋体"/>
                <w:color w:val="auto"/>
                <w:sz w:val="24"/>
                <w:highlight w:val="none"/>
              </w:rPr>
            </w:pPr>
          </w:p>
        </w:tc>
        <w:tc>
          <w:tcPr>
            <w:tcW w:w="582" w:type="pct"/>
            <w:noWrap/>
          </w:tcPr>
          <w:p>
            <w:pPr>
              <w:spacing w:line="360" w:lineRule="auto"/>
              <w:outlineLvl w:val="9"/>
              <w:rPr>
                <w:rFonts w:ascii="宋体" w:hAnsi="宋体" w:cs="宋体"/>
                <w:color w:val="auto"/>
                <w:sz w:val="24"/>
                <w:highlight w:val="none"/>
              </w:rPr>
            </w:pPr>
          </w:p>
        </w:tc>
        <w:tc>
          <w:tcPr>
            <w:tcW w:w="1367" w:type="pct"/>
            <w:noWrap/>
          </w:tcPr>
          <w:p>
            <w:pPr>
              <w:spacing w:line="360" w:lineRule="auto"/>
              <w:outlineLvl w:val="9"/>
              <w:rPr>
                <w:rFonts w:ascii="宋体" w:hAnsi="宋体" w:cs="宋体"/>
                <w:color w:val="auto"/>
                <w:sz w:val="24"/>
                <w:highlight w:val="none"/>
              </w:rPr>
            </w:pPr>
          </w:p>
        </w:tc>
        <w:tc>
          <w:tcPr>
            <w:tcW w:w="1703" w:type="pct"/>
            <w:noWrap/>
          </w:tcPr>
          <w:p>
            <w:pPr>
              <w:spacing w:line="360" w:lineRule="auto"/>
              <w:outlineLvl w:val="9"/>
              <w:rPr>
                <w:rFonts w:ascii="宋体" w:hAnsi="宋体" w:cs="宋体"/>
                <w:color w:val="auto"/>
                <w:sz w:val="24"/>
                <w:highlight w:val="none"/>
              </w:rPr>
            </w:pPr>
          </w:p>
        </w:tc>
        <w:tc>
          <w:tcPr>
            <w:tcW w:w="448" w:type="pct"/>
            <w:noWrap/>
          </w:tcPr>
          <w:p>
            <w:pPr>
              <w:spacing w:line="360" w:lineRule="auto"/>
              <w:outlineLvl w:val="9"/>
              <w:rPr>
                <w:rFonts w:ascii="宋体" w:hAnsi="宋体" w:cs="宋体"/>
                <w:color w:val="auto"/>
                <w:sz w:val="24"/>
                <w:highlight w:val="none"/>
              </w:rPr>
            </w:pPr>
          </w:p>
        </w:tc>
        <w:tc>
          <w:tcPr>
            <w:tcW w:w="537" w:type="pct"/>
            <w:noWrap/>
          </w:tcPr>
          <w:p>
            <w:pPr>
              <w:spacing w:line="360" w:lineRule="auto"/>
              <w:outlineLvl w:val="9"/>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360" w:type="pct"/>
            <w:noWrap/>
          </w:tcPr>
          <w:p>
            <w:pPr>
              <w:spacing w:line="360" w:lineRule="auto"/>
              <w:outlineLvl w:val="9"/>
              <w:rPr>
                <w:rFonts w:ascii="宋体" w:hAnsi="宋体" w:cs="宋体"/>
                <w:color w:val="auto"/>
                <w:sz w:val="24"/>
                <w:highlight w:val="none"/>
              </w:rPr>
            </w:pPr>
          </w:p>
        </w:tc>
        <w:tc>
          <w:tcPr>
            <w:tcW w:w="582" w:type="pct"/>
            <w:noWrap/>
          </w:tcPr>
          <w:p>
            <w:pPr>
              <w:spacing w:line="360" w:lineRule="auto"/>
              <w:outlineLvl w:val="9"/>
              <w:rPr>
                <w:rFonts w:ascii="宋体" w:hAnsi="宋体" w:cs="宋体"/>
                <w:color w:val="auto"/>
                <w:sz w:val="24"/>
                <w:highlight w:val="none"/>
              </w:rPr>
            </w:pPr>
          </w:p>
        </w:tc>
        <w:tc>
          <w:tcPr>
            <w:tcW w:w="1367" w:type="pct"/>
            <w:noWrap/>
          </w:tcPr>
          <w:p>
            <w:pPr>
              <w:spacing w:line="360" w:lineRule="auto"/>
              <w:outlineLvl w:val="9"/>
              <w:rPr>
                <w:rFonts w:ascii="宋体" w:hAnsi="宋体" w:cs="宋体"/>
                <w:color w:val="auto"/>
                <w:sz w:val="24"/>
                <w:highlight w:val="none"/>
              </w:rPr>
            </w:pPr>
          </w:p>
        </w:tc>
        <w:tc>
          <w:tcPr>
            <w:tcW w:w="1703" w:type="pct"/>
            <w:noWrap/>
          </w:tcPr>
          <w:p>
            <w:pPr>
              <w:spacing w:line="360" w:lineRule="auto"/>
              <w:outlineLvl w:val="9"/>
              <w:rPr>
                <w:rFonts w:ascii="宋体" w:hAnsi="宋体" w:cs="宋体"/>
                <w:color w:val="auto"/>
                <w:sz w:val="24"/>
                <w:highlight w:val="none"/>
              </w:rPr>
            </w:pPr>
          </w:p>
        </w:tc>
        <w:tc>
          <w:tcPr>
            <w:tcW w:w="448" w:type="pct"/>
            <w:noWrap/>
          </w:tcPr>
          <w:p>
            <w:pPr>
              <w:spacing w:line="360" w:lineRule="auto"/>
              <w:outlineLvl w:val="9"/>
              <w:rPr>
                <w:rFonts w:ascii="宋体" w:hAnsi="宋体" w:cs="宋体"/>
                <w:color w:val="auto"/>
                <w:sz w:val="24"/>
                <w:highlight w:val="none"/>
              </w:rPr>
            </w:pPr>
          </w:p>
        </w:tc>
        <w:tc>
          <w:tcPr>
            <w:tcW w:w="537" w:type="pct"/>
            <w:noWrap/>
          </w:tcPr>
          <w:p>
            <w:pPr>
              <w:spacing w:line="360" w:lineRule="auto"/>
              <w:outlineLvl w:val="9"/>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360" w:type="pct"/>
            <w:noWrap/>
          </w:tcPr>
          <w:p>
            <w:pPr>
              <w:spacing w:line="360" w:lineRule="auto"/>
              <w:outlineLvl w:val="9"/>
              <w:rPr>
                <w:rFonts w:ascii="宋体" w:hAnsi="宋体" w:cs="宋体"/>
                <w:color w:val="auto"/>
                <w:sz w:val="24"/>
                <w:highlight w:val="none"/>
              </w:rPr>
            </w:pPr>
          </w:p>
        </w:tc>
        <w:tc>
          <w:tcPr>
            <w:tcW w:w="582" w:type="pct"/>
            <w:noWrap/>
          </w:tcPr>
          <w:p>
            <w:pPr>
              <w:spacing w:line="360" w:lineRule="auto"/>
              <w:outlineLvl w:val="9"/>
              <w:rPr>
                <w:rFonts w:ascii="宋体" w:hAnsi="宋体" w:cs="宋体"/>
                <w:color w:val="auto"/>
                <w:sz w:val="24"/>
                <w:highlight w:val="none"/>
              </w:rPr>
            </w:pPr>
          </w:p>
        </w:tc>
        <w:tc>
          <w:tcPr>
            <w:tcW w:w="1367" w:type="pct"/>
            <w:noWrap/>
          </w:tcPr>
          <w:p>
            <w:pPr>
              <w:spacing w:line="360" w:lineRule="auto"/>
              <w:outlineLvl w:val="9"/>
              <w:rPr>
                <w:rFonts w:ascii="宋体" w:hAnsi="宋体" w:cs="宋体"/>
                <w:color w:val="auto"/>
                <w:sz w:val="24"/>
                <w:highlight w:val="none"/>
              </w:rPr>
            </w:pPr>
          </w:p>
        </w:tc>
        <w:tc>
          <w:tcPr>
            <w:tcW w:w="1703" w:type="pct"/>
            <w:noWrap/>
          </w:tcPr>
          <w:p>
            <w:pPr>
              <w:spacing w:line="360" w:lineRule="auto"/>
              <w:outlineLvl w:val="9"/>
              <w:rPr>
                <w:rFonts w:ascii="宋体" w:hAnsi="宋体" w:cs="宋体"/>
                <w:color w:val="auto"/>
                <w:sz w:val="24"/>
                <w:highlight w:val="none"/>
              </w:rPr>
            </w:pPr>
          </w:p>
        </w:tc>
        <w:tc>
          <w:tcPr>
            <w:tcW w:w="448" w:type="pct"/>
            <w:noWrap/>
          </w:tcPr>
          <w:p>
            <w:pPr>
              <w:spacing w:line="360" w:lineRule="auto"/>
              <w:outlineLvl w:val="9"/>
              <w:rPr>
                <w:rFonts w:ascii="宋体" w:hAnsi="宋体" w:cs="宋体"/>
                <w:color w:val="auto"/>
                <w:sz w:val="24"/>
                <w:highlight w:val="none"/>
              </w:rPr>
            </w:pPr>
          </w:p>
        </w:tc>
        <w:tc>
          <w:tcPr>
            <w:tcW w:w="537" w:type="pct"/>
            <w:noWrap/>
          </w:tcPr>
          <w:p>
            <w:pPr>
              <w:spacing w:line="360" w:lineRule="auto"/>
              <w:outlineLvl w:val="9"/>
              <w:rPr>
                <w:rFonts w:ascii="宋体" w:hAnsi="宋体" w:cs="宋体"/>
                <w:color w:val="auto"/>
                <w:sz w:val="24"/>
                <w:highlight w:val="none"/>
              </w:rPr>
            </w:pPr>
          </w:p>
        </w:tc>
      </w:tr>
    </w:tbl>
    <w:p>
      <w:pPr>
        <w:spacing w:line="360" w:lineRule="auto"/>
        <w:rPr>
          <w:rFonts w:ascii="宋体" w:hAnsi="宋体" w:cs="宋体"/>
          <w:color w:val="auto"/>
          <w:sz w:val="24"/>
          <w:highlight w:val="none"/>
        </w:rPr>
      </w:pPr>
      <w:r>
        <w:rPr>
          <w:rFonts w:hint="eastAsia" w:ascii="宋体" w:hAnsi="宋体" w:cs="宋体"/>
          <w:color w:val="auto"/>
          <w:sz w:val="24"/>
          <w:highlight w:val="none"/>
        </w:rPr>
        <w:t>说明：</w:t>
      </w:r>
    </w:p>
    <w:p>
      <w:pPr>
        <w:pStyle w:val="8"/>
        <w:spacing w:line="360" w:lineRule="auto"/>
        <w:ind w:firstLine="480" w:firstLineChars="200"/>
        <w:rPr>
          <w:rFonts w:ascii="宋体" w:hAnsi="宋体" w:eastAsia="宋体" w:cs="宋体"/>
          <w:b/>
          <w:bCs/>
          <w:sz w:val="24"/>
        </w:rPr>
      </w:pPr>
      <w:r>
        <w:rPr>
          <w:rFonts w:hint="eastAsia" w:ascii="宋体" w:hAnsi="宋体" w:eastAsia="宋体" w:cs="宋体"/>
          <w:sz w:val="24"/>
        </w:rPr>
        <w:t>1.技术条款均应根据投标文件对招标文件的偏离情况相对应地填列。</w:t>
      </w:r>
    </w:p>
    <w:p>
      <w:pPr>
        <w:spacing w:line="360" w:lineRule="auto"/>
        <w:ind w:firstLine="480" w:firstLineChars="200"/>
        <w:rPr>
          <w:rFonts w:ascii="宋体" w:hAnsi="宋体" w:cs="宋体"/>
          <w:sz w:val="24"/>
        </w:rPr>
      </w:pPr>
      <w:r>
        <w:rPr>
          <w:rFonts w:hint="eastAsia" w:ascii="宋体" w:hAnsi="宋体" w:cs="宋体"/>
          <w:sz w:val="24"/>
        </w:rPr>
        <w:t>2.表内如果填列不全，可另外附页说明并按规定签字和加盖公章。</w:t>
      </w:r>
    </w:p>
    <w:p>
      <w:pPr>
        <w:spacing w:line="360" w:lineRule="auto"/>
        <w:ind w:firstLine="480" w:firstLineChars="200"/>
        <w:outlineLvl w:val="0"/>
        <w:rPr>
          <w:rFonts w:ascii="宋体" w:hAnsi="宋体" w:cs="宋体"/>
          <w:sz w:val="24"/>
        </w:rPr>
      </w:pPr>
      <w:bookmarkStart w:id="120" w:name="_Toc17045"/>
      <w:bookmarkStart w:id="121" w:name="_Toc13648"/>
      <w:bookmarkStart w:id="122" w:name="_Toc7720"/>
      <w:bookmarkStart w:id="123" w:name="_Toc1445"/>
      <w:r>
        <w:rPr>
          <w:rFonts w:hint="eastAsia" w:ascii="宋体" w:hAnsi="宋体" w:cs="宋体"/>
          <w:sz w:val="24"/>
        </w:rPr>
        <w:t>3.采购人要求投标人认真填写本表。</w:t>
      </w:r>
      <w:bookmarkEnd w:id="120"/>
      <w:bookmarkEnd w:id="121"/>
      <w:bookmarkEnd w:id="122"/>
      <w:bookmarkEnd w:id="123"/>
    </w:p>
    <w:p>
      <w:pPr>
        <w:spacing w:line="360" w:lineRule="auto"/>
        <w:ind w:firstLine="480" w:firstLineChars="200"/>
        <w:outlineLvl w:val="0"/>
        <w:rPr>
          <w:rFonts w:ascii="宋体" w:hAnsi="宋体" w:cs="宋体"/>
          <w:sz w:val="24"/>
        </w:rPr>
      </w:pPr>
      <w:bookmarkStart w:id="124" w:name="_Toc10833"/>
      <w:bookmarkStart w:id="125" w:name="_Toc30907"/>
      <w:bookmarkStart w:id="126" w:name="_Toc3794"/>
      <w:bookmarkStart w:id="127" w:name="_Toc5218"/>
      <w:r>
        <w:rPr>
          <w:rFonts w:hint="eastAsia" w:ascii="宋体" w:hAnsi="宋体" w:cs="宋体"/>
          <w:sz w:val="24"/>
        </w:rPr>
        <w:t>4.此表可根据需要自行拉长加宽。</w:t>
      </w:r>
      <w:bookmarkEnd w:id="124"/>
      <w:bookmarkEnd w:id="125"/>
      <w:bookmarkEnd w:id="126"/>
      <w:bookmarkEnd w:id="127"/>
    </w:p>
    <w:p>
      <w:pPr>
        <w:spacing w:line="360" w:lineRule="auto"/>
        <w:ind w:firstLine="480" w:firstLineChars="200"/>
        <w:outlineLvl w:val="0"/>
        <w:rPr>
          <w:rFonts w:ascii="宋体" w:hAnsi="宋体" w:cs="宋体"/>
          <w:sz w:val="24"/>
        </w:rPr>
      </w:pPr>
      <w:bookmarkStart w:id="128" w:name="_Toc26831"/>
      <w:bookmarkStart w:id="129" w:name="_Toc6719"/>
      <w:bookmarkStart w:id="130" w:name="_Toc28066"/>
      <w:bookmarkStart w:id="131" w:name="_Toc449"/>
      <w:r>
        <w:rPr>
          <w:rFonts w:hint="eastAsia" w:ascii="宋体" w:hAnsi="宋体" w:cs="宋体"/>
          <w:sz w:val="24"/>
        </w:rPr>
        <w:t>5.</w:t>
      </w:r>
      <w:r>
        <w:rPr>
          <w:rFonts w:hint="eastAsia" w:ascii="宋体" w:hAnsi="宋体" w:cs="宋体"/>
          <w:b/>
          <w:bCs/>
          <w:sz w:val="24"/>
        </w:rPr>
        <w:t>“是否偏离”栏目，投标人据实选择填写完全响应/正偏离/负偏离；并在“备注”栏目填写证明偏离情况的技术证明资料中该项技术指标的明确位置（例如：见投标文件第几页第几段/第几行，此项技术指标应明显标注）</w:t>
      </w:r>
      <w:bookmarkEnd w:id="128"/>
      <w:bookmarkEnd w:id="129"/>
      <w:bookmarkEnd w:id="130"/>
    </w:p>
    <w:bookmarkEnd w:id="131"/>
    <w:p>
      <w:pPr>
        <w:spacing w:line="360" w:lineRule="auto"/>
        <w:ind w:firstLine="482" w:firstLineChars="200"/>
        <w:outlineLvl w:val="0"/>
        <w:rPr>
          <w:rFonts w:ascii="宋体" w:hAnsi="宋体" w:cs="宋体"/>
          <w:b/>
          <w:bCs/>
          <w:sz w:val="24"/>
        </w:rPr>
      </w:pPr>
      <w:bookmarkStart w:id="132" w:name="_Toc3306"/>
      <w:bookmarkStart w:id="133" w:name="_Toc23096"/>
      <w:bookmarkStart w:id="134" w:name="_Toc3358"/>
      <w:bookmarkStart w:id="135" w:name="_Toc2701"/>
      <w:r>
        <w:rPr>
          <w:rFonts w:hint="eastAsia" w:ascii="宋体" w:hAnsi="宋体" w:cs="宋体"/>
          <w:b/>
          <w:bCs/>
          <w:sz w:val="24"/>
        </w:rPr>
        <w:t>6.特别注意：投标人应如实填写所提供的参数，不允许全部复制粘贴招标文件提供的文字及区间数值，否则将视为非实质性响应招标文件技术参数，作为无效标处理。</w:t>
      </w:r>
      <w:bookmarkEnd w:id="132"/>
      <w:bookmarkEnd w:id="133"/>
      <w:bookmarkEnd w:id="134"/>
      <w:bookmarkEnd w:id="135"/>
    </w:p>
    <w:p>
      <w:pPr>
        <w:pStyle w:val="9"/>
        <w:rPr>
          <w:rFonts w:hint="default"/>
          <w:color w:val="auto"/>
          <w:highlight w:val="none"/>
          <w:lang w:val="en-US" w:eastAsia="zh-CN"/>
        </w:rPr>
      </w:pP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投标单位全称（公章）：</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单位负责人或授权代理人（签字）：</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时间：</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日</w:t>
      </w:r>
    </w:p>
    <w:p>
      <w:pPr>
        <w:spacing w:line="360" w:lineRule="auto"/>
        <w:jc w:val="center"/>
        <w:outlineLvl w:val="9"/>
        <w:rPr>
          <w:rFonts w:ascii="宋体" w:hAnsi="宋体" w:cs="宋体"/>
          <w:b/>
          <w:color w:val="auto"/>
          <w:sz w:val="24"/>
          <w:szCs w:val="28"/>
          <w:highlight w:val="none"/>
        </w:rPr>
        <w:sectPr>
          <w:pgSz w:w="11906" w:h="16838"/>
          <w:pgMar w:top="1361" w:right="1304" w:bottom="1247" w:left="1304" w:header="680" w:footer="680" w:gutter="0"/>
          <w:cols w:space="720" w:num="1"/>
          <w:docGrid w:linePitch="312" w:charSpace="0"/>
        </w:sectPr>
      </w:pPr>
    </w:p>
    <w:p>
      <w:pPr>
        <w:spacing w:line="360" w:lineRule="auto"/>
        <w:jc w:val="center"/>
        <w:rPr>
          <w:rFonts w:ascii="宋体" w:hAnsi="宋体" w:cs="宋体"/>
          <w:b/>
          <w:color w:val="auto"/>
          <w:sz w:val="24"/>
          <w:szCs w:val="28"/>
          <w:highlight w:val="none"/>
        </w:rPr>
      </w:pPr>
      <w:r>
        <w:rPr>
          <w:rFonts w:hint="eastAsia" w:ascii="宋体" w:hAnsi="宋体" w:cs="宋体"/>
          <w:b/>
          <w:color w:val="auto"/>
          <w:sz w:val="24"/>
          <w:szCs w:val="28"/>
          <w:highlight w:val="none"/>
        </w:rPr>
        <w:t>商务条款偏离表（格式）</w:t>
      </w:r>
    </w:p>
    <w:p>
      <w:pPr>
        <w:spacing w:line="360" w:lineRule="auto"/>
        <w:jc w:val="center"/>
        <w:outlineLvl w:val="9"/>
        <w:rPr>
          <w:rFonts w:ascii="仿宋_GB2312" w:hAnsi="宋体" w:eastAsia="仿宋_GB2312"/>
          <w:b/>
          <w:color w:val="auto"/>
          <w:sz w:val="24"/>
          <w:szCs w:val="28"/>
          <w:highlight w:val="none"/>
        </w:rPr>
      </w:pPr>
    </w:p>
    <w:p>
      <w:pPr>
        <w:spacing w:line="360" w:lineRule="auto"/>
        <w:jc w:val="center"/>
        <w:outlineLvl w:val="9"/>
        <w:rPr>
          <w:rFonts w:ascii="仿宋_GB2312" w:hAnsi="宋体" w:eastAsia="仿宋_GB2312"/>
          <w:b/>
          <w:color w:val="auto"/>
          <w:sz w:val="24"/>
          <w:szCs w:val="28"/>
          <w:highlight w:val="none"/>
        </w:rPr>
      </w:pPr>
    </w:p>
    <w:p>
      <w:pPr>
        <w:pStyle w:val="12"/>
        <w:spacing w:line="360" w:lineRule="auto"/>
        <w:ind w:firstLine="480" w:firstLineChars="200"/>
        <w:outlineLvl w:val="0"/>
        <w:rPr>
          <w:rFonts w:ascii="宋体" w:hAnsi="宋体" w:cs="宋体"/>
          <w:color w:val="auto"/>
          <w:szCs w:val="24"/>
          <w:highlight w:val="none"/>
        </w:rPr>
      </w:pPr>
      <w:bookmarkStart w:id="136" w:name="_Toc9920"/>
      <w:bookmarkStart w:id="137" w:name="_Toc21614"/>
      <w:r>
        <w:rPr>
          <w:rFonts w:hint="eastAsia" w:ascii="宋体" w:hAnsi="宋体" w:cs="宋体"/>
          <w:color w:val="auto"/>
          <w:szCs w:val="24"/>
          <w:highlight w:val="none"/>
        </w:rPr>
        <w:t>项目名称：</w:t>
      </w:r>
      <w:r>
        <w:rPr>
          <w:rFonts w:hint="eastAsia" w:ascii="宋体" w:hAnsi="宋体" w:cs="宋体"/>
          <w:color w:val="auto"/>
          <w:szCs w:val="24"/>
          <w:highlight w:val="none"/>
          <w:lang w:val="en-US" w:eastAsia="zh-CN"/>
        </w:rPr>
        <w:t xml:space="preserve">               </w:t>
      </w:r>
      <w:r>
        <w:rPr>
          <w:rFonts w:hint="eastAsia" w:ascii="宋体" w:hAnsi="宋体" w:cs="宋体"/>
          <w:color w:val="auto"/>
          <w:szCs w:val="24"/>
          <w:highlight w:val="none"/>
        </w:rPr>
        <w:t>包：</w:t>
      </w:r>
      <w:r>
        <w:rPr>
          <w:rFonts w:hint="eastAsia" w:ascii="宋体" w:hAnsi="宋体" w:cs="宋体"/>
          <w:color w:val="auto"/>
          <w:szCs w:val="24"/>
          <w:highlight w:val="none"/>
          <w:lang w:val="en-US" w:eastAsia="zh-CN"/>
        </w:rPr>
        <w:t xml:space="preserve">              </w:t>
      </w:r>
      <w:r>
        <w:rPr>
          <w:rFonts w:hint="eastAsia" w:ascii="宋体" w:hAnsi="宋体" w:cs="宋体"/>
          <w:color w:val="auto"/>
          <w:szCs w:val="24"/>
          <w:highlight w:val="none"/>
        </w:rPr>
        <w:t>项目编号：</w:t>
      </w:r>
      <w:bookmarkEnd w:id="136"/>
      <w:bookmarkEnd w:id="137"/>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200"/>
        <w:gridCol w:w="2941"/>
        <w:gridCol w:w="3090"/>
        <w:gridCol w:w="888"/>
        <w:gridCol w:w="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noWrap/>
            <w:vAlign w:val="center"/>
          </w:tcPr>
          <w:p>
            <w:pPr>
              <w:spacing w:line="360" w:lineRule="auto"/>
              <w:jc w:val="center"/>
              <w:outlineLvl w:val="0"/>
              <w:rPr>
                <w:rFonts w:ascii="宋体" w:hAnsi="宋体" w:cs="宋体"/>
                <w:color w:val="auto"/>
                <w:sz w:val="24"/>
                <w:highlight w:val="none"/>
              </w:rPr>
            </w:pPr>
            <w:bookmarkStart w:id="138" w:name="_Toc15148"/>
            <w:bookmarkStart w:id="139" w:name="_Toc22943"/>
            <w:r>
              <w:rPr>
                <w:rFonts w:hint="eastAsia" w:ascii="宋体" w:hAnsi="宋体" w:cs="宋体"/>
                <w:color w:val="auto"/>
                <w:sz w:val="24"/>
                <w:highlight w:val="none"/>
              </w:rPr>
              <w:t>序号</w:t>
            </w:r>
            <w:bookmarkEnd w:id="138"/>
            <w:bookmarkEnd w:id="139"/>
          </w:p>
        </w:tc>
        <w:tc>
          <w:tcPr>
            <w:tcW w:w="1200" w:type="dxa"/>
            <w:noWrap/>
            <w:vAlign w:val="center"/>
          </w:tcPr>
          <w:p>
            <w:pPr>
              <w:spacing w:line="360" w:lineRule="auto"/>
              <w:jc w:val="center"/>
              <w:outlineLvl w:val="0"/>
              <w:rPr>
                <w:rFonts w:ascii="宋体" w:hAnsi="宋体" w:cs="宋体"/>
                <w:color w:val="auto"/>
                <w:sz w:val="24"/>
                <w:highlight w:val="none"/>
              </w:rPr>
            </w:pPr>
            <w:bookmarkStart w:id="140" w:name="_Toc9790"/>
            <w:bookmarkStart w:id="141" w:name="_Toc18271"/>
            <w:r>
              <w:rPr>
                <w:rFonts w:hint="eastAsia" w:ascii="宋体" w:hAnsi="宋体" w:cs="宋体"/>
                <w:color w:val="auto"/>
                <w:sz w:val="24"/>
                <w:highlight w:val="none"/>
              </w:rPr>
              <w:t>货物名称</w:t>
            </w:r>
            <w:bookmarkEnd w:id="140"/>
            <w:bookmarkEnd w:id="141"/>
          </w:p>
        </w:tc>
        <w:tc>
          <w:tcPr>
            <w:tcW w:w="2941" w:type="dxa"/>
            <w:noWrap/>
            <w:vAlign w:val="center"/>
          </w:tcPr>
          <w:p>
            <w:pPr>
              <w:spacing w:line="360" w:lineRule="auto"/>
              <w:jc w:val="center"/>
              <w:outlineLvl w:val="0"/>
              <w:rPr>
                <w:rFonts w:ascii="宋体" w:hAnsi="宋体" w:cs="宋体"/>
                <w:color w:val="auto"/>
                <w:sz w:val="24"/>
                <w:highlight w:val="none"/>
              </w:rPr>
            </w:pPr>
            <w:bookmarkStart w:id="142" w:name="_Toc6643"/>
            <w:bookmarkStart w:id="143" w:name="_Toc26834"/>
            <w:r>
              <w:rPr>
                <w:rFonts w:hint="eastAsia" w:ascii="宋体" w:hAnsi="宋体" w:cs="宋体"/>
                <w:color w:val="auto"/>
                <w:sz w:val="24"/>
                <w:highlight w:val="none"/>
              </w:rPr>
              <w:t>招标文件规定的商务条款</w:t>
            </w:r>
            <w:bookmarkEnd w:id="142"/>
            <w:bookmarkEnd w:id="143"/>
          </w:p>
        </w:tc>
        <w:tc>
          <w:tcPr>
            <w:tcW w:w="3090" w:type="dxa"/>
            <w:noWrap/>
            <w:vAlign w:val="center"/>
          </w:tcPr>
          <w:p>
            <w:pPr>
              <w:spacing w:line="360" w:lineRule="auto"/>
              <w:jc w:val="center"/>
              <w:outlineLvl w:val="0"/>
              <w:rPr>
                <w:rFonts w:ascii="宋体" w:hAnsi="宋体" w:cs="宋体"/>
                <w:color w:val="auto"/>
                <w:sz w:val="24"/>
                <w:highlight w:val="none"/>
              </w:rPr>
            </w:pPr>
            <w:bookmarkStart w:id="144" w:name="_Toc495"/>
            <w:bookmarkStart w:id="145" w:name="_Toc12457"/>
            <w:r>
              <w:rPr>
                <w:rFonts w:hint="eastAsia" w:ascii="宋体" w:hAnsi="宋体" w:cs="宋体"/>
                <w:color w:val="auto"/>
                <w:sz w:val="24"/>
                <w:highlight w:val="none"/>
              </w:rPr>
              <w:t>投标文件对应的商务条款</w:t>
            </w:r>
            <w:bookmarkEnd w:id="144"/>
            <w:bookmarkEnd w:id="145"/>
          </w:p>
        </w:tc>
        <w:tc>
          <w:tcPr>
            <w:tcW w:w="888" w:type="dxa"/>
            <w:noWrap/>
            <w:vAlign w:val="center"/>
          </w:tcPr>
          <w:p>
            <w:pPr>
              <w:spacing w:line="360" w:lineRule="auto"/>
              <w:jc w:val="center"/>
              <w:outlineLvl w:val="0"/>
              <w:rPr>
                <w:rFonts w:ascii="宋体" w:hAnsi="宋体" w:cs="宋体"/>
                <w:color w:val="auto"/>
                <w:sz w:val="24"/>
                <w:highlight w:val="none"/>
              </w:rPr>
            </w:pPr>
            <w:bookmarkStart w:id="146" w:name="_Toc20805"/>
            <w:bookmarkStart w:id="147" w:name="_Toc6559"/>
            <w:r>
              <w:rPr>
                <w:rFonts w:hint="eastAsia" w:ascii="宋体" w:hAnsi="宋体" w:cs="宋体"/>
                <w:color w:val="auto"/>
                <w:sz w:val="24"/>
                <w:highlight w:val="none"/>
              </w:rPr>
              <w:t>是否偏离</w:t>
            </w:r>
            <w:bookmarkEnd w:id="146"/>
            <w:bookmarkEnd w:id="147"/>
          </w:p>
        </w:tc>
        <w:tc>
          <w:tcPr>
            <w:tcW w:w="748" w:type="dxa"/>
            <w:noWrap/>
            <w:vAlign w:val="center"/>
          </w:tcPr>
          <w:p>
            <w:pPr>
              <w:spacing w:line="360" w:lineRule="auto"/>
              <w:jc w:val="center"/>
              <w:outlineLvl w:val="0"/>
              <w:rPr>
                <w:rFonts w:ascii="宋体" w:hAnsi="宋体" w:cs="宋体"/>
                <w:color w:val="auto"/>
                <w:sz w:val="24"/>
                <w:highlight w:val="none"/>
              </w:rPr>
            </w:pPr>
            <w:bookmarkStart w:id="148" w:name="_Toc4032"/>
            <w:bookmarkStart w:id="149" w:name="_Toc6674"/>
            <w:r>
              <w:rPr>
                <w:rFonts w:hint="eastAsia" w:ascii="宋体" w:hAnsi="宋体" w:cs="宋体"/>
                <w:color w:val="auto"/>
                <w:sz w:val="24"/>
                <w:highlight w:val="none"/>
              </w:rPr>
              <w:t>备注</w:t>
            </w:r>
            <w:bookmarkEnd w:id="148"/>
            <w:bookmarkEnd w:id="14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noWrap/>
          </w:tcPr>
          <w:p>
            <w:pPr>
              <w:spacing w:line="360" w:lineRule="auto"/>
              <w:outlineLvl w:val="9"/>
              <w:rPr>
                <w:rFonts w:ascii="宋体" w:hAnsi="宋体" w:cs="宋体"/>
                <w:color w:val="auto"/>
                <w:sz w:val="24"/>
                <w:highlight w:val="none"/>
              </w:rPr>
            </w:pPr>
          </w:p>
        </w:tc>
        <w:tc>
          <w:tcPr>
            <w:tcW w:w="1200" w:type="dxa"/>
            <w:noWrap/>
          </w:tcPr>
          <w:p>
            <w:pPr>
              <w:spacing w:line="360" w:lineRule="auto"/>
              <w:outlineLvl w:val="9"/>
              <w:rPr>
                <w:rFonts w:ascii="宋体" w:hAnsi="宋体" w:cs="宋体"/>
                <w:color w:val="auto"/>
                <w:sz w:val="24"/>
                <w:highlight w:val="none"/>
              </w:rPr>
            </w:pPr>
          </w:p>
        </w:tc>
        <w:tc>
          <w:tcPr>
            <w:tcW w:w="2941" w:type="dxa"/>
            <w:noWrap/>
          </w:tcPr>
          <w:p>
            <w:pPr>
              <w:spacing w:line="360" w:lineRule="auto"/>
              <w:outlineLvl w:val="9"/>
              <w:rPr>
                <w:rFonts w:ascii="宋体" w:hAnsi="宋体" w:cs="宋体"/>
                <w:color w:val="auto"/>
                <w:sz w:val="24"/>
                <w:highlight w:val="none"/>
              </w:rPr>
            </w:pPr>
          </w:p>
        </w:tc>
        <w:tc>
          <w:tcPr>
            <w:tcW w:w="3090" w:type="dxa"/>
            <w:noWrap/>
          </w:tcPr>
          <w:p>
            <w:pPr>
              <w:spacing w:line="360" w:lineRule="auto"/>
              <w:outlineLvl w:val="9"/>
              <w:rPr>
                <w:rFonts w:ascii="宋体" w:hAnsi="宋体" w:cs="宋体"/>
                <w:color w:val="auto"/>
                <w:sz w:val="24"/>
                <w:highlight w:val="none"/>
              </w:rPr>
            </w:pPr>
          </w:p>
        </w:tc>
        <w:tc>
          <w:tcPr>
            <w:tcW w:w="888" w:type="dxa"/>
            <w:noWrap/>
          </w:tcPr>
          <w:p>
            <w:pPr>
              <w:spacing w:line="360" w:lineRule="auto"/>
              <w:outlineLvl w:val="9"/>
              <w:rPr>
                <w:rFonts w:ascii="宋体" w:hAnsi="宋体" w:cs="宋体"/>
                <w:color w:val="auto"/>
                <w:sz w:val="24"/>
                <w:highlight w:val="none"/>
              </w:rPr>
            </w:pPr>
          </w:p>
        </w:tc>
        <w:tc>
          <w:tcPr>
            <w:tcW w:w="748" w:type="dxa"/>
            <w:noWrap/>
          </w:tcPr>
          <w:p>
            <w:pPr>
              <w:spacing w:line="360" w:lineRule="auto"/>
              <w:outlineLvl w:val="9"/>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noWrap/>
          </w:tcPr>
          <w:p>
            <w:pPr>
              <w:spacing w:line="360" w:lineRule="auto"/>
              <w:outlineLvl w:val="9"/>
              <w:rPr>
                <w:rFonts w:ascii="宋体" w:hAnsi="宋体" w:cs="宋体"/>
                <w:color w:val="auto"/>
                <w:sz w:val="24"/>
                <w:highlight w:val="none"/>
              </w:rPr>
            </w:pPr>
          </w:p>
        </w:tc>
        <w:tc>
          <w:tcPr>
            <w:tcW w:w="1200" w:type="dxa"/>
            <w:noWrap/>
          </w:tcPr>
          <w:p>
            <w:pPr>
              <w:spacing w:line="360" w:lineRule="auto"/>
              <w:outlineLvl w:val="9"/>
              <w:rPr>
                <w:rFonts w:ascii="宋体" w:hAnsi="宋体" w:cs="宋体"/>
                <w:color w:val="auto"/>
                <w:sz w:val="24"/>
                <w:highlight w:val="none"/>
              </w:rPr>
            </w:pPr>
          </w:p>
        </w:tc>
        <w:tc>
          <w:tcPr>
            <w:tcW w:w="2941" w:type="dxa"/>
            <w:noWrap/>
          </w:tcPr>
          <w:p>
            <w:pPr>
              <w:spacing w:line="360" w:lineRule="auto"/>
              <w:outlineLvl w:val="9"/>
              <w:rPr>
                <w:rFonts w:ascii="宋体" w:hAnsi="宋体" w:cs="宋体"/>
                <w:color w:val="auto"/>
                <w:sz w:val="24"/>
                <w:highlight w:val="none"/>
              </w:rPr>
            </w:pPr>
          </w:p>
        </w:tc>
        <w:tc>
          <w:tcPr>
            <w:tcW w:w="3090" w:type="dxa"/>
            <w:noWrap/>
          </w:tcPr>
          <w:p>
            <w:pPr>
              <w:spacing w:line="360" w:lineRule="auto"/>
              <w:outlineLvl w:val="9"/>
              <w:rPr>
                <w:rFonts w:ascii="宋体" w:hAnsi="宋体" w:cs="宋体"/>
                <w:color w:val="auto"/>
                <w:sz w:val="24"/>
                <w:highlight w:val="none"/>
              </w:rPr>
            </w:pPr>
          </w:p>
        </w:tc>
        <w:tc>
          <w:tcPr>
            <w:tcW w:w="888" w:type="dxa"/>
            <w:noWrap/>
          </w:tcPr>
          <w:p>
            <w:pPr>
              <w:spacing w:line="360" w:lineRule="auto"/>
              <w:outlineLvl w:val="9"/>
              <w:rPr>
                <w:rFonts w:ascii="宋体" w:hAnsi="宋体" w:cs="宋体"/>
                <w:color w:val="auto"/>
                <w:sz w:val="24"/>
                <w:highlight w:val="none"/>
              </w:rPr>
            </w:pPr>
          </w:p>
        </w:tc>
        <w:tc>
          <w:tcPr>
            <w:tcW w:w="748" w:type="dxa"/>
            <w:noWrap/>
          </w:tcPr>
          <w:p>
            <w:pPr>
              <w:spacing w:line="360" w:lineRule="auto"/>
              <w:outlineLvl w:val="9"/>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noWrap/>
          </w:tcPr>
          <w:p>
            <w:pPr>
              <w:spacing w:line="360" w:lineRule="auto"/>
              <w:outlineLvl w:val="9"/>
              <w:rPr>
                <w:rFonts w:ascii="宋体" w:hAnsi="宋体" w:cs="宋体"/>
                <w:color w:val="auto"/>
                <w:sz w:val="24"/>
                <w:highlight w:val="none"/>
              </w:rPr>
            </w:pPr>
          </w:p>
        </w:tc>
        <w:tc>
          <w:tcPr>
            <w:tcW w:w="1200" w:type="dxa"/>
            <w:noWrap/>
          </w:tcPr>
          <w:p>
            <w:pPr>
              <w:spacing w:line="360" w:lineRule="auto"/>
              <w:outlineLvl w:val="9"/>
              <w:rPr>
                <w:rFonts w:ascii="宋体" w:hAnsi="宋体" w:cs="宋体"/>
                <w:color w:val="auto"/>
                <w:sz w:val="24"/>
                <w:highlight w:val="none"/>
              </w:rPr>
            </w:pPr>
          </w:p>
        </w:tc>
        <w:tc>
          <w:tcPr>
            <w:tcW w:w="2941" w:type="dxa"/>
            <w:noWrap/>
          </w:tcPr>
          <w:p>
            <w:pPr>
              <w:spacing w:line="360" w:lineRule="auto"/>
              <w:outlineLvl w:val="9"/>
              <w:rPr>
                <w:rFonts w:ascii="宋体" w:hAnsi="宋体" w:cs="宋体"/>
                <w:color w:val="auto"/>
                <w:sz w:val="24"/>
                <w:highlight w:val="none"/>
              </w:rPr>
            </w:pPr>
          </w:p>
        </w:tc>
        <w:tc>
          <w:tcPr>
            <w:tcW w:w="3090" w:type="dxa"/>
            <w:noWrap/>
          </w:tcPr>
          <w:p>
            <w:pPr>
              <w:spacing w:line="360" w:lineRule="auto"/>
              <w:outlineLvl w:val="9"/>
              <w:rPr>
                <w:rFonts w:ascii="宋体" w:hAnsi="宋体" w:cs="宋体"/>
                <w:color w:val="auto"/>
                <w:sz w:val="24"/>
                <w:highlight w:val="none"/>
              </w:rPr>
            </w:pPr>
          </w:p>
        </w:tc>
        <w:tc>
          <w:tcPr>
            <w:tcW w:w="888" w:type="dxa"/>
            <w:noWrap/>
          </w:tcPr>
          <w:p>
            <w:pPr>
              <w:spacing w:line="360" w:lineRule="auto"/>
              <w:outlineLvl w:val="9"/>
              <w:rPr>
                <w:rFonts w:ascii="宋体" w:hAnsi="宋体" w:cs="宋体"/>
                <w:color w:val="auto"/>
                <w:sz w:val="24"/>
                <w:highlight w:val="none"/>
              </w:rPr>
            </w:pPr>
          </w:p>
        </w:tc>
        <w:tc>
          <w:tcPr>
            <w:tcW w:w="748" w:type="dxa"/>
            <w:noWrap/>
          </w:tcPr>
          <w:p>
            <w:pPr>
              <w:spacing w:line="360" w:lineRule="auto"/>
              <w:outlineLvl w:val="9"/>
              <w:rPr>
                <w:rFonts w:ascii="宋体" w:hAnsi="宋体" w:cs="宋体"/>
                <w:color w:val="auto"/>
                <w:sz w:val="24"/>
                <w:highlight w:val="none"/>
              </w:rPr>
            </w:pPr>
          </w:p>
        </w:tc>
      </w:tr>
    </w:tbl>
    <w:p>
      <w:pPr>
        <w:spacing w:line="360" w:lineRule="auto"/>
        <w:rPr>
          <w:rFonts w:ascii="宋体" w:hAnsi="宋体" w:cs="宋体"/>
          <w:color w:val="auto"/>
          <w:sz w:val="24"/>
          <w:highlight w:val="none"/>
        </w:rPr>
      </w:pPr>
      <w:r>
        <w:rPr>
          <w:rFonts w:hint="eastAsia" w:ascii="宋体" w:hAnsi="宋体" w:cs="宋体"/>
          <w:color w:val="auto"/>
          <w:sz w:val="24"/>
          <w:highlight w:val="none"/>
        </w:rPr>
        <w:t>说明：</w:t>
      </w:r>
    </w:p>
    <w:p>
      <w:pPr>
        <w:pStyle w:val="8"/>
        <w:spacing w:line="360" w:lineRule="auto"/>
        <w:ind w:firstLine="570"/>
        <w:rPr>
          <w:rFonts w:ascii="宋体" w:hAnsi="宋体" w:eastAsia="宋体" w:cs="宋体"/>
          <w:color w:val="auto"/>
          <w:sz w:val="24"/>
          <w:highlight w:val="none"/>
        </w:rPr>
      </w:pPr>
      <w:r>
        <w:rPr>
          <w:rFonts w:hint="eastAsia" w:ascii="宋体" w:hAnsi="宋体" w:eastAsia="宋体" w:cs="宋体"/>
          <w:color w:val="auto"/>
          <w:sz w:val="24"/>
          <w:highlight w:val="none"/>
        </w:rPr>
        <w:t>1.商务条款均应根据投标文件对招标文件的偏离情况相对应地填列。</w:t>
      </w:r>
    </w:p>
    <w:p>
      <w:pPr>
        <w:pStyle w:val="8"/>
        <w:spacing w:line="360" w:lineRule="auto"/>
        <w:ind w:firstLine="570"/>
        <w:rPr>
          <w:rFonts w:ascii="宋体" w:hAnsi="宋体" w:eastAsia="宋体" w:cs="宋体"/>
          <w:color w:val="auto"/>
          <w:sz w:val="24"/>
          <w:highlight w:val="none"/>
        </w:rPr>
      </w:pPr>
      <w:r>
        <w:rPr>
          <w:rFonts w:hint="eastAsia" w:ascii="宋体" w:hAnsi="宋体" w:eastAsia="宋体" w:cs="宋体"/>
          <w:color w:val="auto"/>
          <w:sz w:val="24"/>
          <w:highlight w:val="none"/>
        </w:rPr>
        <w:t>2.商务条款可填写</w:t>
      </w:r>
      <w:r>
        <w:rPr>
          <w:rFonts w:hint="eastAsia" w:ascii="宋体" w:hAnsi="宋体" w:eastAsia="宋体" w:cs="宋体"/>
          <w:b/>
          <w:bCs/>
          <w:color w:val="auto"/>
          <w:sz w:val="24"/>
          <w:highlight w:val="none"/>
        </w:rPr>
        <w:t>付款条件、合同履行期限</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交货</w:t>
      </w:r>
      <w:r>
        <w:rPr>
          <w:rFonts w:hint="eastAsia" w:ascii="宋体" w:hAnsi="宋体" w:eastAsia="宋体" w:cs="宋体"/>
          <w:b/>
          <w:bCs/>
          <w:color w:val="auto"/>
          <w:sz w:val="24"/>
          <w:highlight w:val="none"/>
          <w:lang w:val="en-US" w:eastAsia="zh-CN"/>
        </w:rPr>
        <w:t>地点</w:t>
      </w:r>
      <w:r>
        <w:rPr>
          <w:rFonts w:hint="eastAsia" w:ascii="宋体" w:hAnsi="宋体" w:eastAsia="宋体" w:cs="宋体"/>
          <w:b/>
          <w:bCs/>
          <w:color w:val="auto"/>
          <w:sz w:val="24"/>
          <w:highlight w:val="none"/>
        </w:rPr>
        <w:t>、交货方式、售后服务</w:t>
      </w:r>
      <w:r>
        <w:rPr>
          <w:rFonts w:hint="eastAsia" w:ascii="宋体" w:hAnsi="宋体" w:eastAsia="宋体" w:cs="宋体"/>
          <w:color w:val="auto"/>
          <w:sz w:val="24"/>
          <w:highlight w:val="none"/>
        </w:rPr>
        <w:t>等重要条款方面的偏离情况，但不限于以上条款。</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 3.表内如果填列不全，可另外附页说明并按规定签字和加盖公章。</w:t>
      </w:r>
    </w:p>
    <w:p>
      <w:pPr>
        <w:spacing w:line="360" w:lineRule="auto"/>
        <w:ind w:firstLine="480" w:firstLineChars="200"/>
        <w:outlineLvl w:val="0"/>
        <w:rPr>
          <w:rFonts w:hint="eastAsia" w:ascii="宋体" w:hAnsi="宋体" w:cs="宋体"/>
          <w:color w:val="auto"/>
          <w:sz w:val="24"/>
          <w:highlight w:val="none"/>
        </w:rPr>
      </w:pPr>
      <w:r>
        <w:rPr>
          <w:rFonts w:hint="eastAsia" w:ascii="宋体" w:hAnsi="宋体" w:cs="宋体"/>
          <w:color w:val="auto"/>
          <w:sz w:val="24"/>
          <w:highlight w:val="none"/>
        </w:rPr>
        <w:t xml:space="preserve"> </w:t>
      </w:r>
      <w:bookmarkStart w:id="150" w:name="_Toc30001"/>
      <w:bookmarkStart w:id="151" w:name="_Toc772"/>
      <w:r>
        <w:rPr>
          <w:rFonts w:hint="eastAsia" w:ascii="宋体" w:hAnsi="宋体" w:cs="宋体"/>
          <w:color w:val="auto"/>
          <w:sz w:val="24"/>
          <w:highlight w:val="none"/>
        </w:rPr>
        <w:t>4.采购人要求投标人认真填写本表。</w:t>
      </w:r>
      <w:bookmarkEnd w:id="150"/>
      <w:bookmarkEnd w:id="151"/>
    </w:p>
    <w:p>
      <w:pPr>
        <w:spacing w:line="360" w:lineRule="auto"/>
        <w:ind w:firstLine="480" w:firstLineChars="200"/>
        <w:outlineLvl w:val="0"/>
        <w:rPr>
          <w:rFonts w:hint="eastAsia" w:ascii="宋体" w:hAnsi="宋体" w:cs="宋体"/>
          <w:color w:val="auto"/>
          <w:sz w:val="24"/>
          <w:highlight w:val="none"/>
        </w:rPr>
      </w:pPr>
      <w:r>
        <w:rPr>
          <w:rFonts w:hint="eastAsia" w:ascii="宋体" w:hAnsi="宋体" w:cs="宋体"/>
          <w:color w:val="auto"/>
          <w:sz w:val="24"/>
          <w:highlight w:val="none"/>
        </w:rPr>
        <w:t xml:space="preserve"> </w:t>
      </w:r>
      <w:bookmarkStart w:id="152" w:name="_Toc30063"/>
      <w:bookmarkStart w:id="153" w:name="_Toc11821"/>
      <w:r>
        <w:rPr>
          <w:rFonts w:hint="eastAsia" w:ascii="宋体" w:hAnsi="宋体" w:cs="宋体"/>
          <w:color w:val="auto"/>
          <w:sz w:val="24"/>
          <w:highlight w:val="none"/>
        </w:rPr>
        <w:t>5.此表可根据需要自行拉长加宽。</w:t>
      </w:r>
      <w:bookmarkEnd w:id="152"/>
      <w:bookmarkEnd w:id="153"/>
    </w:p>
    <w:p>
      <w:pPr>
        <w:spacing w:line="360" w:lineRule="auto"/>
        <w:ind w:firstLine="480" w:firstLineChars="200"/>
        <w:outlineLvl w:val="0"/>
        <w:rPr>
          <w:rFonts w:hint="eastAsia" w:ascii="宋体" w:hAnsi="宋体" w:cs="宋体"/>
          <w:color w:val="auto"/>
          <w:sz w:val="24"/>
          <w:highlight w:val="none"/>
        </w:rPr>
      </w:pPr>
      <w:bookmarkStart w:id="154" w:name="_Toc19457"/>
      <w:bookmarkStart w:id="155" w:name="_Toc26962"/>
      <w:r>
        <w:rPr>
          <w:rFonts w:hint="eastAsia" w:ascii="宋体" w:hAnsi="宋体" w:cs="宋体"/>
          <w:color w:val="auto"/>
          <w:sz w:val="24"/>
          <w:highlight w:val="none"/>
        </w:rPr>
        <w:t>6.如有正偏离的商务条款，须在商务条款偏离表中体现，如未在商务条款偏离表中填写，视为其商务条款全部满足。</w:t>
      </w:r>
      <w:bookmarkEnd w:id="154"/>
      <w:bookmarkEnd w:id="155"/>
    </w:p>
    <w:p>
      <w:pPr>
        <w:spacing w:line="360" w:lineRule="auto"/>
        <w:ind w:firstLine="480" w:firstLineChars="200"/>
        <w:outlineLvl w:val="9"/>
        <w:rPr>
          <w:rFonts w:ascii="宋体" w:hAnsi="宋体" w:cs="宋体"/>
          <w:color w:val="auto"/>
          <w:sz w:val="24"/>
          <w:highlight w:val="none"/>
        </w:rPr>
      </w:pP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投标单位全称（公章）：</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单位负责人或授权代理人（签字）：</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时间：</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日</w:t>
      </w:r>
    </w:p>
    <w:p>
      <w:pPr>
        <w:pStyle w:val="12"/>
        <w:spacing w:line="360" w:lineRule="auto"/>
        <w:outlineLvl w:val="9"/>
        <w:rPr>
          <w:rFonts w:ascii="宋体" w:hAnsi="宋体" w:cs="宋体"/>
          <w:color w:val="auto"/>
          <w:szCs w:val="24"/>
          <w:highlight w:val="none"/>
        </w:rPr>
        <w:sectPr>
          <w:pgSz w:w="11906" w:h="16838"/>
          <w:pgMar w:top="1361" w:right="1304" w:bottom="1247" w:left="1304" w:header="680" w:footer="680" w:gutter="0"/>
          <w:cols w:space="720" w:num="1"/>
          <w:docGrid w:linePitch="312" w:charSpace="0"/>
        </w:sectPr>
      </w:pPr>
    </w:p>
    <w:p>
      <w:pPr>
        <w:pStyle w:val="12"/>
        <w:spacing w:line="360" w:lineRule="auto"/>
        <w:outlineLvl w:val="0"/>
        <w:rPr>
          <w:rFonts w:ascii="宋体" w:hAnsi="宋体" w:cs="宋体"/>
          <w:b/>
          <w:color w:val="auto"/>
          <w:szCs w:val="28"/>
          <w:highlight w:val="none"/>
        </w:rPr>
      </w:pPr>
      <w:bookmarkStart w:id="156" w:name="_Toc29571"/>
      <w:bookmarkStart w:id="157" w:name="_Toc18954"/>
      <w:r>
        <w:rPr>
          <w:rFonts w:hint="eastAsia" w:ascii="宋体" w:hAnsi="宋体" w:cs="宋体"/>
          <w:b/>
          <w:color w:val="auto"/>
          <w:szCs w:val="28"/>
          <w:highlight w:val="none"/>
        </w:rPr>
        <w:t>格式五：</w:t>
      </w:r>
      <w:bookmarkEnd w:id="156"/>
      <w:bookmarkEnd w:id="157"/>
    </w:p>
    <w:p>
      <w:pPr>
        <w:spacing w:line="360" w:lineRule="auto"/>
        <w:jc w:val="center"/>
        <w:outlineLvl w:val="0"/>
        <w:rPr>
          <w:rFonts w:ascii="宋体" w:hAnsi="宋体" w:cs="宋体"/>
          <w:b/>
          <w:color w:val="auto"/>
          <w:sz w:val="24"/>
          <w:szCs w:val="28"/>
          <w:highlight w:val="none"/>
        </w:rPr>
      </w:pPr>
      <w:bookmarkStart w:id="158" w:name="_Toc26899"/>
      <w:bookmarkStart w:id="159" w:name="_Toc6229"/>
      <w:r>
        <w:rPr>
          <w:rFonts w:hint="eastAsia" w:ascii="宋体" w:hAnsi="宋体" w:cs="宋体"/>
          <w:b/>
          <w:color w:val="auto"/>
          <w:sz w:val="24"/>
          <w:szCs w:val="28"/>
          <w:highlight w:val="none"/>
        </w:rPr>
        <w:t>售后服务承诺书（格式）</w:t>
      </w:r>
      <w:bookmarkEnd w:id="158"/>
      <w:bookmarkEnd w:id="159"/>
    </w:p>
    <w:p>
      <w:pPr>
        <w:spacing w:line="360" w:lineRule="auto"/>
        <w:jc w:val="center"/>
        <w:outlineLvl w:val="9"/>
        <w:rPr>
          <w:rFonts w:ascii="仿宋_GB2312" w:hAnsi="宋体" w:eastAsia="仿宋_GB2312"/>
          <w:b/>
          <w:bCs/>
          <w:color w:val="auto"/>
          <w:sz w:val="24"/>
          <w:szCs w:val="28"/>
          <w:highlight w:val="none"/>
        </w:rPr>
      </w:pPr>
    </w:p>
    <w:p>
      <w:pPr>
        <w:spacing w:line="360" w:lineRule="auto"/>
        <w:jc w:val="center"/>
        <w:outlineLvl w:val="9"/>
        <w:rPr>
          <w:rFonts w:ascii="仿宋_GB2312" w:hAnsi="宋体" w:eastAsia="仿宋_GB2312"/>
          <w:b/>
          <w:bCs/>
          <w:color w:val="auto"/>
          <w:sz w:val="24"/>
          <w:szCs w:val="28"/>
          <w:highlight w:val="none"/>
        </w:rPr>
      </w:pPr>
    </w:p>
    <w:p>
      <w:pPr>
        <w:spacing w:line="360" w:lineRule="auto"/>
        <w:outlineLvl w:val="0"/>
        <w:rPr>
          <w:rFonts w:ascii="宋体" w:hAnsi="宋体" w:cs="宋体"/>
          <w:bCs/>
          <w:color w:val="auto"/>
          <w:sz w:val="24"/>
          <w:highlight w:val="none"/>
        </w:rPr>
      </w:pPr>
      <w:bookmarkStart w:id="160" w:name="_Toc8572"/>
      <w:bookmarkStart w:id="161" w:name="_Toc16605"/>
      <w:r>
        <w:rPr>
          <w:rFonts w:hint="eastAsia" w:ascii="宋体" w:hAnsi="宋体" w:cs="宋体"/>
          <w:color w:val="auto"/>
          <w:kern w:val="0"/>
          <w:sz w:val="24"/>
          <w:highlight w:val="none"/>
          <w:lang w:eastAsia="zh-CN"/>
        </w:rPr>
        <w:t>中峪国际项目管理有限公司</w:t>
      </w:r>
      <w:r>
        <w:rPr>
          <w:rFonts w:hint="eastAsia" w:ascii="宋体" w:hAnsi="宋体" w:cs="宋体"/>
          <w:bCs/>
          <w:color w:val="auto"/>
          <w:sz w:val="24"/>
          <w:highlight w:val="none"/>
        </w:rPr>
        <w:t>：</w:t>
      </w:r>
      <w:bookmarkEnd w:id="160"/>
      <w:bookmarkEnd w:id="161"/>
    </w:p>
    <w:p>
      <w:pPr>
        <w:spacing w:line="360" w:lineRule="auto"/>
        <w:ind w:firstLine="480" w:firstLineChars="200"/>
        <w:rPr>
          <w:rFonts w:ascii="宋体" w:hAnsi="宋体" w:cs="宋体"/>
          <w:color w:val="auto"/>
          <w:sz w:val="24"/>
          <w:highlight w:val="none"/>
        </w:rPr>
      </w:pPr>
      <w:r>
        <w:rPr>
          <w:rFonts w:hint="eastAsia" w:ascii="宋体" w:hAnsi="宋体" w:cs="宋体"/>
          <w:bCs/>
          <w:color w:val="auto"/>
          <w:sz w:val="24"/>
          <w:highlight w:val="none"/>
        </w:rPr>
        <w:t>我公司自愿参加</w:t>
      </w:r>
      <w:r>
        <w:rPr>
          <w:rFonts w:hint="eastAsia" w:ascii="宋体" w:hAnsi="宋体" w:cs="宋体"/>
          <w:bCs/>
          <w:color w:val="auto"/>
          <w:sz w:val="24"/>
          <w:highlight w:val="none"/>
          <w:u w:val="single"/>
        </w:rPr>
        <w:t>　　　　</w:t>
      </w:r>
      <w:r>
        <w:rPr>
          <w:rFonts w:hint="eastAsia" w:ascii="宋体" w:hAnsi="宋体" w:cs="宋体"/>
          <w:bCs/>
          <w:color w:val="auto"/>
          <w:sz w:val="24"/>
          <w:highlight w:val="none"/>
        </w:rPr>
        <w:t>项目</w:t>
      </w:r>
      <w:r>
        <w:rPr>
          <w:rFonts w:hint="eastAsia" w:ascii="宋体" w:hAnsi="宋体" w:cs="宋体"/>
          <w:bCs/>
          <w:color w:val="auto"/>
          <w:sz w:val="24"/>
          <w:highlight w:val="none"/>
          <w:u w:val="single"/>
        </w:rPr>
        <w:t>（项目编号</w:t>
      </w:r>
      <w:r>
        <w:rPr>
          <w:rFonts w:hint="eastAsia" w:ascii="宋体" w:hAnsi="宋体" w:cs="宋体"/>
          <w:color w:val="auto"/>
          <w:sz w:val="24"/>
          <w:highlight w:val="none"/>
          <w:u w:val="single"/>
        </w:rPr>
        <w:t>）</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的投标。我公司郑重承诺，如果我公司的投标被评定为中标，我公司对于中标货物，除完全响应招标文件合同条款对伴随服务和售后服务的所有要求外，还将按照以下条款提供优质和完善的售后服务：</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w:t>
      </w:r>
    </w:p>
    <w:p>
      <w:pPr>
        <w:pStyle w:val="21"/>
        <w:ind w:firstLine="480"/>
        <w:rPr>
          <w:rFonts w:ascii="宋体" w:hAnsi="宋体" w:cs="宋体"/>
          <w:color w:val="auto"/>
          <w:sz w:val="24"/>
          <w:highlight w:val="none"/>
        </w:rPr>
      </w:pPr>
      <w:r>
        <w:rPr>
          <w:rFonts w:hint="eastAsia" w:ascii="宋体" w:hAnsi="宋体" w:cs="宋体"/>
          <w:color w:val="auto"/>
          <w:sz w:val="24"/>
          <w:highlight w:val="none"/>
        </w:rPr>
        <w:t>2.</w:t>
      </w:r>
    </w:p>
    <w:p>
      <w:pPr>
        <w:pStyle w:val="21"/>
        <w:ind w:firstLine="480"/>
        <w:rPr>
          <w:rFonts w:ascii="宋体" w:hAnsi="宋体" w:cs="宋体"/>
          <w:color w:val="auto"/>
          <w:sz w:val="24"/>
          <w:highlight w:val="none"/>
        </w:rPr>
      </w:pPr>
      <w:r>
        <w:rPr>
          <w:rFonts w:hint="eastAsia" w:ascii="宋体" w:hAnsi="宋体" w:cs="宋体"/>
          <w:color w:val="auto"/>
          <w:sz w:val="24"/>
          <w:highlight w:val="none"/>
        </w:rPr>
        <w:t>...</w:t>
      </w:r>
    </w:p>
    <w:p>
      <w:pPr>
        <w:spacing w:line="360" w:lineRule="auto"/>
        <w:ind w:firstLine="480" w:firstLineChars="200"/>
        <w:rPr>
          <w:rFonts w:ascii="宋体" w:hAnsi="宋体" w:cs="宋体"/>
          <w:color w:val="auto"/>
          <w:sz w:val="24"/>
          <w:highlight w:val="none"/>
        </w:rPr>
      </w:pPr>
    </w:p>
    <w:p>
      <w:pPr>
        <w:spacing w:line="360" w:lineRule="auto"/>
        <w:ind w:firstLine="480" w:firstLineChars="200"/>
        <w:rPr>
          <w:rFonts w:ascii="宋体" w:hAnsi="宋体" w:cs="宋体"/>
          <w:color w:val="auto"/>
          <w:sz w:val="24"/>
          <w:highlight w:val="none"/>
        </w:rPr>
      </w:pPr>
    </w:p>
    <w:p>
      <w:pPr>
        <w:spacing w:line="360" w:lineRule="auto"/>
        <w:ind w:firstLine="480" w:firstLineChars="200"/>
        <w:outlineLvl w:val="0"/>
        <w:rPr>
          <w:rFonts w:ascii="宋体" w:hAnsi="宋体" w:cs="宋体"/>
          <w:color w:val="auto"/>
          <w:sz w:val="24"/>
          <w:highlight w:val="none"/>
        </w:rPr>
      </w:pPr>
      <w:bookmarkStart w:id="162" w:name="_Toc21730"/>
      <w:bookmarkStart w:id="163" w:name="_Toc7872"/>
      <w:r>
        <w:rPr>
          <w:rFonts w:hint="eastAsia" w:ascii="宋体" w:hAnsi="宋体" w:cs="宋体"/>
          <w:color w:val="auto"/>
          <w:sz w:val="24"/>
          <w:highlight w:val="none"/>
        </w:rPr>
        <w:t>投标单位全称（公章）：</w:t>
      </w:r>
      <w:bookmarkEnd w:id="162"/>
      <w:bookmarkEnd w:id="163"/>
    </w:p>
    <w:p>
      <w:pPr>
        <w:spacing w:line="360" w:lineRule="auto"/>
        <w:outlineLvl w:val="9"/>
        <w:rPr>
          <w:rFonts w:ascii="宋体" w:hAnsi="宋体" w:cs="宋体"/>
          <w:color w:val="auto"/>
          <w:sz w:val="24"/>
          <w:highlight w:val="none"/>
        </w:rPr>
      </w:pPr>
    </w:p>
    <w:p>
      <w:pPr>
        <w:spacing w:line="360" w:lineRule="auto"/>
        <w:ind w:firstLine="480" w:firstLineChars="200"/>
        <w:outlineLvl w:val="0"/>
        <w:rPr>
          <w:rFonts w:ascii="宋体" w:hAnsi="宋体" w:cs="宋体"/>
          <w:color w:val="auto"/>
          <w:sz w:val="24"/>
          <w:highlight w:val="none"/>
        </w:rPr>
      </w:pPr>
      <w:bookmarkStart w:id="164" w:name="_Toc26966"/>
      <w:bookmarkStart w:id="165" w:name="_Toc3394"/>
      <w:r>
        <w:rPr>
          <w:rFonts w:hint="eastAsia" w:ascii="宋体" w:hAnsi="宋体" w:cs="宋体"/>
          <w:color w:val="auto"/>
          <w:sz w:val="24"/>
          <w:highlight w:val="none"/>
        </w:rPr>
        <w:t>单位负责人或授权代理人签字：</w:t>
      </w:r>
      <w:bookmarkEnd w:id="164"/>
      <w:bookmarkEnd w:id="165"/>
    </w:p>
    <w:p>
      <w:pPr>
        <w:spacing w:line="360" w:lineRule="auto"/>
        <w:outlineLvl w:val="9"/>
        <w:rPr>
          <w:rFonts w:ascii="宋体" w:hAnsi="宋体" w:cs="宋体"/>
          <w:color w:val="auto"/>
          <w:sz w:val="24"/>
          <w:highlight w:val="none"/>
        </w:rPr>
      </w:pPr>
    </w:p>
    <w:p>
      <w:pPr>
        <w:spacing w:line="360" w:lineRule="auto"/>
        <w:ind w:firstLine="480" w:firstLineChars="200"/>
        <w:outlineLvl w:val="0"/>
        <w:rPr>
          <w:rFonts w:ascii="宋体" w:hAnsi="宋体" w:cs="宋体"/>
          <w:color w:val="auto"/>
          <w:sz w:val="24"/>
          <w:highlight w:val="none"/>
        </w:rPr>
      </w:pPr>
      <w:bookmarkStart w:id="166" w:name="_Toc23751"/>
      <w:bookmarkStart w:id="167" w:name="_Toc29467"/>
      <w:r>
        <w:rPr>
          <w:rFonts w:hint="eastAsia" w:ascii="宋体" w:hAnsi="宋体" w:cs="宋体"/>
          <w:color w:val="auto"/>
          <w:sz w:val="24"/>
          <w:highlight w:val="none"/>
        </w:rPr>
        <w:t>年</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日</w:t>
      </w:r>
      <w:bookmarkEnd w:id="166"/>
      <w:bookmarkEnd w:id="167"/>
    </w:p>
    <w:p>
      <w:pPr>
        <w:pStyle w:val="12"/>
        <w:spacing w:line="360" w:lineRule="auto"/>
        <w:outlineLvl w:val="9"/>
        <w:rPr>
          <w:rFonts w:ascii="仿宋_GB2312" w:hAnsi="宋体" w:eastAsia="仿宋_GB2312"/>
          <w:color w:val="auto"/>
          <w:szCs w:val="24"/>
          <w:highlight w:val="none"/>
        </w:rPr>
      </w:pPr>
    </w:p>
    <w:p>
      <w:pPr>
        <w:pStyle w:val="12"/>
        <w:spacing w:line="360" w:lineRule="auto"/>
        <w:outlineLvl w:val="9"/>
        <w:rPr>
          <w:rFonts w:ascii="仿宋_GB2312" w:hAnsi="宋体" w:eastAsia="仿宋_GB2312"/>
          <w:b/>
          <w:color w:val="auto"/>
          <w:szCs w:val="28"/>
          <w:highlight w:val="none"/>
        </w:rPr>
      </w:pPr>
    </w:p>
    <w:p>
      <w:pPr>
        <w:pStyle w:val="12"/>
        <w:spacing w:line="360" w:lineRule="auto"/>
        <w:outlineLvl w:val="9"/>
        <w:rPr>
          <w:rFonts w:ascii="仿宋_GB2312" w:hAnsi="宋体" w:eastAsia="仿宋_GB2312"/>
          <w:b/>
          <w:color w:val="auto"/>
          <w:szCs w:val="28"/>
          <w:highlight w:val="none"/>
        </w:rPr>
      </w:pPr>
    </w:p>
    <w:p>
      <w:pPr>
        <w:pStyle w:val="12"/>
        <w:spacing w:line="360" w:lineRule="auto"/>
        <w:outlineLvl w:val="9"/>
        <w:rPr>
          <w:rFonts w:ascii="仿宋_GB2312" w:hAnsi="宋体" w:eastAsia="仿宋_GB2312"/>
          <w:b/>
          <w:color w:val="auto"/>
          <w:szCs w:val="28"/>
          <w:highlight w:val="none"/>
        </w:rPr>
      </w:pPr>
    </w:p>
    <w:p>
      <w:pPr>
        <w:pStyle w:val="12"/>
        <w:spacing w:line="360" w:lineRule="auto"/>
        <w:outlineLvl w:val="9"/>
        <w:rPr>
          <w:rFonts w:ascii="仿宋_GB2312" w:hAnsi="宋体" w:eastAsia="仿宋_GB2312"/>
          <w:b/>
          <w:color w:val="auto"/>
          <w:szCs w:val="28"/>
          <w:highlight w:val="none"/>
        </w:rPr>
      </w:pPr>
    </w:p>
    <w:p>
      <w:pPr>
        <w:pStyle w:val="12"/>
        <w:spacing w:line="360" w:lineRule="auto"/>
        <w:outlineLvl w:val="9"/>
        <w:rPr>
          <w:rFonts w:ascii="仿宋_GB2312" w:hAnsi="宋体" w:eastAsia="仿宋_GB2312"/>
          <w:b/>
          <w:color w:val="auto"/>
          <w:szCs w:val="28"/>
          <w:highlight w:val="none"/>
        </w:rPr>
        <w:sectPr>
          <w:pgSz w:w="11906" w:h="16838"/>
          <w:pgMar w:top="1361" w:right="1304" w:bottom="1247" w:left="1304" w:header="680" w:footer="680" w:gutter="0"/>
          <w:cols w:space="720" w:num="1"/>
          <w:docGrid w:linePitch="312" w:charSpace="0"/>
        </w:sectPr>
      </w:pPr>
    </w:p>
    <w:p>
      <w:pPr>
        <w:pStyle w:val="12"/>
        <w:spacing w:line="360" w:lineRule="auto"/>
        <w:outlineLvl w:val="0"/>
        <w:rPr>
          <w:rFonts w:ascii="宋体" w:hAnsi="宋体" w:cs="宋体"/>
          <w:b/>
          <w:color w:val="auto"/>
          <w:szCs w:val="28"/>
          <w:highlight w:val="none"/>
        </w:rPr>
      </w:pPr>
      <w:bookmarkStart w:id="168" w:name="_Toc18700"/>
      <w:bookmarkStart w:id="169" w:name="_Toc16531"/>
      <w:r>
        <w:rPr>
          <w:rFonts w:hint="eastAsia" w:ascii="宋体" w:hAnsi="宋体" w:cs="宋体"/>
          <w:b/>
          <w:color w:val="auto"/>
          <w:szCs w:val="28"/>
          <w:highlight w:val="none"/>
        </w:rPr>
        <w:t>格式六：</w:t>
      </w:r>
      <w:bookmarkEnd w:id="168"/>
      <w:bookmarkEnd w:id="169"/>
    </w:p>
    <w:p>
      <w:pPr>
        <w:spacing w:line="360" w:lineRule="auto"/>
        <w:jc w:val="center"/>
        <w:outlineLvl w:val="0"/>
        <w:rPr>
          <w:rFonts w:ascii="仿宋_GB2312" w:hAnsi="宋体" w:eastAsia="仿宋_GB2312"/>
          <w:b/>
          <w:color w:val="auto"/>
          <w:sz w:val="24"/>
          <w:szCs w:val="28"/>
          <w:highlight w:val="none"/>
        </w:rPr>
      </w:pPr>
      <w:bookmarkStart w:id="170" w:name="_Toc5974"/>
      <w:bookmarkStart w:id="171" w:name="_Toc12257"/>
      <w:r>
        <w:rPr>
          <w:rFonts w:hint="eastAsia" w:ascii="宋体" w:hAnsi="宋体" w:cs="宋体"/>
          <w:b/>
          <w:color w:val="auto"/>
          <w:sz w:val="24"/>
          <w:szCs w:val="28"/>
          <w:highlight w:val="none"/>
        </w:rPr>
        <w:t>单位负责人资格证明（格式）</w:t>
      </w:r>
      <w:bookmarkEnd w:id="170"/>
      <w:bookmarkEnd w:id="171"/>
    </w:p>
    <w:p>
      <w:pPr>
        <w:spacing w:line="360" w:lineRule="auto"/>
        <w:jc w:val="center"/>
        <w:outlineLvl w:val="9"/>
        <w:rPr>
          <w:rFonts w:ascii="仿宋_GB2312" w:hAnsi="宋体" w:eastAsia="仿宋_GB2312"/>
          <w:color w:val="auto"/>
          <w:sz w:val="24"/>
          <w:highlight w:val="none"/>
        </w:rPr>
      </w:pPr>
    </w:p>
    <w:p>
      <w:pPr>
        <w:spacing w:line="360" w:lineRule="auto"/>
        <w:ind w:firstLine="480" w:firstLineChars="200"/>
        <w:jc w:val="left"/>
        <w:outlineLvl w:val="0"/>
        <w:rPr>
          <w:rFonts w:hint="eastAsia" w:ascii="宋体" w:hAnsi="宋体" w:cs="宋体"/>
          <w:color w:val="auto"/>
          <w:sz w:val="24"/>
          <w:highlight w:val="none"/>
        </w:rPr>
      </w:pPr>
      <w:bookmarkStart w:id="172" w:name="_Toc14885"/>
      <w:bookmarkStart w:id="173" w:name="_Toc24824"/>
      <w:r>
        <w:rPr>
          <w:rFonts w:hint="eastAsia" w:ascii="宋体" w:hAnsi="宋体" w:cs="宋体"/>
          <w:color w:val="auto"/>
          <w:sz w:val="24"/>
          <w:highlight w:val="none"/>
        </w:rPr>
        <w:t>兹证明：</w:t>
      </w:r>
      <w:bookmarkEnd w:id="172"/>
      <w:bookmarkEnd w:id="173"/>
    </w:p>
    <w:p>
      <w:pPr>
        <w:spacing w:line="360" w:lineRule="auto"/>
        <w:ind w:firstLine="960" w:firstLineChars="400"/>
        <w:jc w:val="left"/>
        <w:outlineLvl w:val="0"/>
        <w:rPr>
          <w:rFonts w:ascii="宋体" w:hAnsi="宋体" w:cs="宋体"/>
          <w:color w:val="auto"/>
          <w:sz w:val="24"/>
          <w:highlight w:val="none"/>
        </w:rPr>
      </w:pPr>
      <w:r>
        <w:rPr>
          <w:rFonts w:hint="eastAsia" w:ascii="宋体" w:hAnsi="宋体" w:cs="宋体"/>
          <w:color w:val="auto"/>
          <w:sz w:val="24"/>
          <w:highlight w:val="none"/>
          <w:u w:val="single"/>
        </w:rPr>
        <w:t>（被证明人姓名）</w:t>
      </w:r>
      <w:r>
        <w:rPr>
          <w:rFonts w:hint="eastAsia" w:ascii="宋体" w:hAnsi="宋体" w:cs="宋体"/>
          <w:color w:val="auto"/>
          <w:sz w:val="24"/>
          <w:highlight w:val="none"/>
        </w:rPr>
        <w:t>现任</w:t>
      </w:r>
      <w:r>
        <w:rPr>
          <w:rFonts w:hint="default"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default" w:ascii="宋体" w:hAnsi="宋体" w:cs="宋体"/>
          <w:color w:val="auto"/>
          <w:sz w:val="24"/>
          <w:highlight w:val="none"/>
          <w:u w:val="single"/>
        </w:rPr>
        <w:t xml:space="preserve">   </w:t>
      </w:r>
      <w:r>
        <w:rPr>
          <w:rFonts w:hint="eastAsia" w:ascii="宋体" w:hAnsi="宋体" w:cs="宋体"/>
          <w:color w:val="auto"/>
          <w:sz w:val="24"/>
          <w:highlight w:val="none"/>
        </w:rPr>
        <w:t>公司（工厂）的</w:t>
      </w:r>
      <w:r>
        <w:rPr>
          <w:rFonts w:hint="default"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default" w:ascii="宋体" w:hAnsi="宋体" w:cs="宋体"/>
          <w:color w:val="auto"/>
          <w:sz w:val="24"/>
          <w:highlight w:val="none"/>
          <w:u w:val="single"/>
        </w:rPr>
        <w:t xml:space="preserve"> </w:t>
      </w:r>
      <w:r>
        <w:rPr>
          <w:rFonts w:hint="eastAsia" w:ascii="宋体" w:hAnsi="宋体" w:cs="宋体"/>
          <w:color w:val="auto"/>
          <w:sz w:val="24"/>
          <w:highlight w:val="none"/>
          <w:u w:val="single"/>
        </w:rPr>
        <w:t>（职务）</w:t>
      </w:r>
      <w:r>
        <w:rPr>
          <w:rFonts w:hint="eastAsia" w:ascii="宋体" w:hAnsi="宋体" w:cs="宋体"/>
          <w:color w:val="auto"/>
          <w:sz w:val="24"/>
          <w:highlight w:val="none"/>
        </w:rPr>
        <w:t>，系</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none"/>
        </w:rPr>
        <w:t>公司（工厂）</w:t>
      </w:r>
      <w:r>
        <w:rPr>
          <w:rFonts w:hint="eastAsia" w:ascii="宋体" w:hAnsi="宋体" w:cs="宋体"/>
          <w:color w:val="auto"/>
          <w:sz w:val="24"/>
          <w:highlight w:val="none"/>
        </w:rPr>
        <w:t>的单位负责人。</w:t>
      </w:r>
    </w:p>
    <w:p>
      <w:pPr>
        <w:spacing w:line="360" w:lineRule="auto"/>
        <w:ind w:firstLine="480" w:firstLineChars="200"/>
        <w:jc w:val="left"/>
        <w:outlineLvl w:val="0"/>
        <w:rPr>
          <w:rFonts w:ascii="宋体" w:hAnsi="宋体" w:cs="宋体"/>
          <w:color w:val="auto"/>
          <w:sz w:val="24"/>
          <w:highlight w:val="none"/>
        </w:rPr>
      </w:pPr>
    </w:p>
    <w:p>
      <w:pPr>
        <w:spacing w:line="360" w:lineRule="auto"/>
        <w:ind w:firstLine="480" w:firstLineChars="200"/>
        <w:outlineLvl w:val="0"/>
        <w:rPr>
          <w:rFonts w:ascii="宋体" w:hAnsi="宋体" w:cs="宋体"/>
          <w:color w:val="auto"/>
          <w:sz w:val="24"/>
          <w:highlight w:val="none"/>
        </w:rPr>
      </w:pPr>
      <w:bookmarkStart w:id="174" w:name="_Toc14336"/>
      <w:bookmarkStart w:id="175" w:name="_Toc23041"/>
      <w:r>
        <w:rPr>
          <w:rFonts w:hint="eastAsia" w:ascii="宋体" w:hAnsi="宋体" w:cs="宋体"/>
          <w:color w:val="auto"/>
          <w:sz w:val="24"/>
          <w:highlight w:val="none"/>
        </w:rPr>
        <w:t>特此证明。</w:t>
      </w:r>
      <w:bookmarkEnd w:id="174"/>
      <w:bookmarkEnd w:id="175"/>
    </w:p>
    <w:p>
      <w:pPr>
        <w:spacing w:line="360" w:lineRule="auto"/>
        <w:ind w:firstLine="480" w:firstLineChars="200"/>
        <w:outlineLvl w:val="9"/>
        <w:rPr>
          <w:rFonts w:ascii="宋体" w:hAnsi="宋体" w:cs="宋体"/>
          <w:color w:val="auto"/>
          <w:sz w:val="24"/>
          <w:highlight w:val="none"/>
        </w:rPr>
      </w:pPr>
    </w:p>
    <w:p>
      <w:pPr>
        <w:spacing w:line="360" w:lineRule="auto"/>
        <w:ind w:firstLine="480" w:firstLineChars="200"/>
        <w:outlineLvl w:val="9"/>
        <w:rPr>
          <w:rFonts w:ascii="宋体" w:hAnsi="宋体" w:cs="宋体"/>
          <w:color w:val="auto"/>
          <w:sz w:val="24"/>
          <w:highlight w:val="none"/>
        </w:rPr>
      </w:pPr>
    </w:p>
    <w:p>
      <w:pPr>
        <w:spacing w:line="360" w:lineRule="auto"/>
        <w:ind w:firstLine="480" w:firstLineChars="200"/>
        <w:outlineLvl w:val="9"/>
        <w:rPr>
          <w:rFonts w:ascii="宋体" w:hAnsi="宋体" w:cs="宋体"/>
          <w:color w:val="auto"/>
          <w:sz w:val="24"/>
          <w:highlight w:val="none"/>
        </w:rPr>
      </w:pPr>
    </w:p>
    <w:p>
      <w:pPr>
        <w:spacing w:line="360" w:lineRule="auto"/>
        <w:ind w:firstLine="480" w:firstLineChars="200"/>
        <w:outlineLvl w:val="0"/>
        <w:rPr>
          <w:rFonts w:ascii="宋体" w:hAnsi="宋体" w:cs="宋体"/>
          <w:color w:val="auto"/>
          <w:sz w:val="24"/>
          <w:highlight w:val="none"/>
        </w:rPr>
      </w:pPr>
      <w:bookmarkStart w:id="176" w:name="_Toc32274"/>
      <w:bookmarkStart w:id="177" w:name="_Toc3487"/>
      <w:r>
        <w:rPr>
          <w:rFonts w:hint="eastAsia" w:ascii="宋体" w:hAnsi="宋体" w:cs="宋体"/>
          <w:color w:val="auto"/>
          <w:sz w:val="24"/>
          <w:highlight w:val="none"/>
        </w:rPr>
        <w:t>投标单位全称（公章）：</w:t>
      </w:r>
      <w:bookmarkEnd w:id="176"/>
      <w:bookmarkEnd w:id="177"/>
    </w:p>
    <w:p>
      <w:pPr>
        <w:spacing w:line="360" w:lineRule="auto"/>
        <w:ind w:firstLine="480" w:firstLineChars="200"/>
        <w:outlineLvl w:val="0"/>
        <w:rPr>
          <w:rFonts w:ascii="宋体" w:hAnsi="宋体" w:cs="宋体"/>
          <w:color w:val="auto"/>
          <w:sz w:val="24"/>
          <w:highlight w:val="none"/>
        </w:rPr>
      </w:pPr>
      <w:bookmarkStart w:id="178" w:name="_Toc2976"/>
      <w:bookmarkStart w:id="179" w:name="_Toc21905"/>
      <w:r>
        <w:rPr>
          <w:rFonts w:hint="eastAsia" w:ascii="宋体" w:hAnsi="宋体" w:cs="宋体"/>
          <w:color w:val="auto"/>
          <w:sz w:val="24"/>
          <w:highlight w:val="none"/>
        </w:rPr>
        <w:t>地址：</w:t>
      </w:r>
      <w:bookmarkEnd w:id="178"/>
      <w:bookmarkEnd w:id="179"/>
    </w:p>
    <w:p>
      <w:pPr>
        <w:spacing w:line="360" w:lineRule="auto"/>
        <w:ind w:firstLine="480" w:firstLineChars="200"/>
        <w:outlineLvl w:val="0"/>
        <w:rPr>
          <w:rFonts w:ascii="宋体" w:hAnsi="宋体" w:cs="宋体"/>
          <w:color w:val="auto"/>
          <w:sz w:val="24"/>
          <w:highlight w:val="none"/>
        </w:rPr>
      </w:pPr>
      <w:bookmarkStart w:id="180" w:name="_Toc28772"/>
      <w:bookmarkStart w:id="181" w:name="_Toc4029"/>
      <w:r>
        <w:rPr>
          <w:rFonts w:hint="eastAsia" w:ascii="宋体" w:hAnsi="宋体" w:cs="宋体"/>
          <w:color w:val="auto"/>
          <w:sz w:val="24"/>
          <w:highlight w:val="none"/>
        </w:rPr>
        <w:t>被证明人签字：</w:t>
      </w:r>
      <w:bookmarkEnd w:id="180"/>
      <w:bookmarkEnd w:id="181"/>
    </w:p>
    <w:p>
      <w:pPr>
        <w:spacing w:line="360" w:lineRule="auto"/>
        <w:ind w:firstLine="555"/>
        <w:outlineLvl w:val="9"/>
        <w:rPr>
          <w:rFonts w:ascii="宋体" w:hAnsi="宋体" w:cs="宋体"/>
          <w:color w:val="auto"/>
          <w:sz w:val="24"/>
          <w:highlight w:val="none"/>
        </w:rPr>
      </w:pPr>
    </w:p>
    <w:p>
      <w:pPr>
        <w:spacing w:line="360" w:lineRule="auto"/>
        <w:ind w:firstLine="480" w:firstLineChars="200"/>
        <w:outlineLvl w:val="0"/>
        <w:rPr>
          <w:rFonts w:ascii="宋体" w:hAnsi="宋体" w:cs="宋体"/>
          <w:color w:val="auto"/>
          <w:sz w:val="24"/>
          <w:highlight w:val="none"/>
        </w:rPr>
      </w:pPr>
      <w:bookmarkStart w:id="182" w:name="_Toc8358"/>
      <w:bookmarkStart w:id="183" w:name="_Toc28404"/>
      <w:r>
        <w:rPr>
          <w:rFonts w:hint="eastAsia" w:ascii="宋体" w:hAnsi="宋体" w:cs="宋体"/>
          <w:color w:val="auto"/>
          <w:sz w:val="24"/>
          <w:highlight w:val="none"/>
        </w:rPr>
        <w:t>年</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日</w:t>
      </w:r>
      <w:bookmarkEnd w:id="182"/>
      <w:bookmarkEnd w:id="183"/>
    </w:p>
    <w:p>
      <w:pPr>
        <w:pStyle w:val="12"/>
        <w:spacing w:line="360" w:lineRule="auto"/>
        <w:outlineLvl w:val="9"/>
        <w:rPr>
          <w:rFonts w:ascii="宋体" w:hAnsi="宋体" w:cs="宋体"/>
          <w:color w:val="auto"/>
          <w:szCs w:val="24"/>
          <w:highlight w:val="none"/>
        </w:rPr>
      </w:pPr>
    </w:p>
    <w:p>
      <w:pPr>
        <w:pStyle w:val="12"/>
        <w:spacing w:line="360" w:lineRule="auto"/>
        <w:jc w:val="center"/>
        <w:outlineLvl w:val="0"/>
        <w:rPr>
          <w:rFonts w:ascii="宋体" w:hAnsi="宋体" w:cs="宋体"/>
          <w:color w:val="auto"/>
          <w:szCs w:val="24"/>
          <w:highlight w:val="none"/>
        </w:rPr>
      </w:pPr>
      <w:bookmarkStart w:id="184" w:name="_Toc7383"/>
      <w:bookmarkStart w:id="185" w:name="_Toc8092"/>
      <w:r>
        <w:rPr>
          <w:rFonts w:hint="eastAsia" w:ascii="宋体" w:hAnsi="宋体" w:cs="宋体"/>
          <w:color w:val="auto"/>
          <w:highlight w:val="none"/>
        </w:rPr>
        <w:t>单位负责人</w:t>
      </w:r>
      <w:r>
        <w:rPr>
          <w:rFonts w:hint="eastAsia" w:ascii="宋体" w:hAnsi="宋体" w:cs="宋体"/>
          <w:color w:val="auto"/>
          <w:szCs w:val="24"/>
          <w:highlight w:val="none"/>
        </w:rPr>
        <w:t>身份证粘帖处</w:t>
      </w:r>
      <w:bookmarkEnd w:id="184"/>
      <w:bookmarkEnd w:id="185"/>
    </w:p>
    <w:p>
      <w:pPr>
        <w:pStyle w:val="12"/>
        <w:spacing w:line="360" w:lineRule="auto"/>
        <w:outlineLvl w:val="9"/>
        <w:rPr>
          <w:rFonts w:ascii="宋体" w:hAnsi="宋体" w:cs="宋体"/>
          <w:color w:val="auto"/>
          <w:szCs w:val="24"/>
          <w:highlight w:val="none"/>
        </w:rPr>
      </w:pPr>
    </w:p>
    <w:p>
      <w:pPr>
        <w:pStyle w:val="12"/>
        <w:spacing w:line="360" w:lineRule="auto"/>
        <w:outlineLvl w:val="9"/>
        <w:rPr>
          <w:rFonts w:ascii="仿宋_GB2312" w:hAnsi="宋体" w:eastAsia="仿宋_GB2312"/>
          <w:b/>
          <w:color w:val="auto"/>
          <w:szCs w:val="28"/>
          <w:highlight w:val="none"/>
        </w:rPr>
      </w:pPr>
    </w:p>
    <w:p>
      <w:pPr>
        <w:pStyle w:val="12"/>
        <w:spacing w:line="360" w:lineRule="auto"/>
        <w:outlineLvl w:val="9"/>
        <w:rPr>
          <w:rFonts w:ascii="仿宋_GB2312" w:hAnsi="宋体" w:eastAsia="仿宋_GB2312"/>
          <w:b/>
          <w:color w:val="auto"/>
          <w:szCs w:val="28"/>
          <w:highlight w:val="none"/>
        </w:rPr>
        <w:sectPr>
          <w:pgSz w:w="11906" w:h="16838"/>
          <w:pgMar w:top="1361" w:right="1304" w:bottom="1247" w:left="1304" w:header="680" w:footer="680" w:gutter="0"/>
          <w:cols w:space="720" w:num="1"/>
          <w:docGrid w:linePitch="312" w:charSpace="0"/>
        </w:sectPr>
      </w:pPr>
    </w:p>
    <w:p>
      <w:pPr>
        <w:pStyle w:val="12"/>
        <w:spacing w:line="360" w:lineRule="auto"/>
        <w:outlineLvl w:val="0"/>
        <w:rPr>
          <w:rFonts w:ascii="宋体" w:hAnsi="宋体" w:cs="宋体"/>
          <w:b/>
          <w:color w:val="auto"/>
          <w:szCs w:val="28"/>
          <w:highlight w:val="none"/>
        </w:rPr>
      </w:pPr>
      <w:bookmarkStart w:id="186" w:name="_Toc32180"/>
      <w:bookmarkStart w:id="187" w:name="_Toc17931"/>
      <w:r>
        <w:rPr>
          <w:rFonts w:hint="eastAsia" w:ascii="宋体" w:hAnsi="宋体" w:cs="宋体"/>
          <w:b/>
          <w:color w:val="auto"/>
          <w:szCs w:val="28"/>
          <w:highlight w:val="none"/>
        </w:rPr>
        <w:t>格式七：</w:t>
      </w:r>
      <w:bookmarkEnd w:id="186"/>
      <w:bookmarkEnd w:id="187"/>
    </w:p>
    <w:p>
      <w:pPr>
        <w:spacing w:line="360" w:lineRule="auto"/>
        <w:rPr>
          <w:rFonts w:ascii="宋体" w:hAnsi="宋体" w:cs="宋体"/>
          <w:b/>
          <w:color w:val="auto"/>
          <w:sz w:val="24"/>
          <w:szCs w:val="28"/>
          <w:highlight w:val="none"/>
        </w:rPr>
      </w:pPr>
    </w:p>
    <w:p>
      <w:pPr>
        <w:snapToGrid w:val="0"/>
        <w:spacing w:line="360" w:lineRule="auto"/>
        <w:jc w:val="center"/>
        <w:textAlignment w:val="bottom"/>
        <w:outlineLvl w:val="0"/>
        <w:rPr>
          <w:rFonts w:ascii="宋体" w:hAnsi="宋体" w:cs="宋体"/>
          <w:b/>
          <w:color w:val="auto"/>
          <w:sz w:val="24"/>
          <w:szCs w:val="28"/>
          <w:highlight w:val="none"/>
        </w:rPr>
      </w:pPr>
      <w:bookmarkStart w:id="188" w:name="_Toc12683"/>
      <w:bookmarkStart w:id="189" w:name="_Toc29679"/>
      <w:r>
        <w:rPr>
          <w:rFonts w:hint="eastAsia" w:ascii="宋体" w:hAnsi="宋体" w:cs="宋体"/>
          <w:b/>
          <w:color w:val="auto"/>
          <w:sz w:val="24"/>
          <w:szCs w:val="28"/>
          <w:highlight w:val="none"/>
        </w:rPr>
        <w:t>单位负责人授权书（格式）</w:t>
      </w:r>
      <w:bookmarkEnd w:id="188"/>
      <w:bookmarkEnd w:id="189"/>
    </w:p>
    <w:p>
      <w:pPr>
        <w:snapToGrid w:val="0"/>
        <w:spacing w:line="360" w:lineRule="auto"/>
        <w:jc w:val="center"/>
        <w:textAlignment w:val="bottom"/>
        <w:rPr>
          <w:rFonts w:ascii="仿宋_GB2312" w:hAnsi="宋体" w:eastAsia="仿宋_GB2312"/>
          <w:b/>
          <w:bCs/>
          <w:color w:val="auto"/>
          <w:sz w:val="24"/>
          <w:szCs w:val="28"/>
          <w:highlight w:val="none"/>
        </w:rPr>
      </w:pPr>
    </w:p>
    <w:p>
      <w:pPr>
        <w:snapToGrid w:val="0"/>
        <w:spacing w:line="360" w:lineRule="auto"/>
        <w:textAlignment w:val="bottom"/>
        <w:rPr>
          <w:rFonts w:ascii="仿宋_GB2312" w:hAnsi="宋体" w:eastAsia="仿宋_GB2312"/>
          <w:color w:val="auto"/>
          <w:sz w:val="24"/>
          <w:highlight w:val="none"/>
        </w:rPr>
      </w:pPr>
    </w:p>
    <w:p>
      <w:pPr>
        <w:snapToGrid w:val="0"/>
        <w:spacing w:line="360" w:lineRule="auto"/>
        <w:ind w:firstLine="480" w:firstLineChars="200"/>
        <w:textAlignment w:val="bottom"/>
        <w:rPr>
          <w:rFonts w:ascii="宋体" w:hAnsi="宋体" w:cs="宋体"/>
          <w:color w:val="auto"/>
          <w:sz w:val="24"/>
          <w:highlight w:val="none"/>
        </w:rPr>
      </w:pPr>
      <w:r>
        <w:rPr>
          <w:rFonts w:hint="eastAsia" w:ascii="宋体" w:hAnsi="宋体" w:cs="宋体"/>
          <w:color w:val="auto"/>
          <w:sz w:val="24"/>
          <w:highlight w:val="none"/>
        </w:rPr>
        <w:t>本授权书声明：</w:t>
      </w:r>
      <w:r>
        <w:rPr>
          <w:rFonts w:hint="default" w:ascii="宋体" w:hAnsi="宋体" w:cs="宋体"/>
          <w:color w:val="auto"/>
          <w:sz w:val="24"/>
          <w:highlight w:val="none"/>
          <w:u w:val="single"/>
        </w:rPr>
        <w:t xml:space="preserve">        </w:t>
      </w:r>
      <w:r>
        <w:rPr>
          <w:rFonts w:hint="eastAsia" w:ascii="宋体" w:hAnsi="宋体" w:cs="宋体"/>
          <w:color w:val="auto"/>
          <w:sz w:val="24"/>
          <w:highlight w:val="none"/>
          <w:u w:val="single"/>
        </w:rPr>
        <w:t>（单位负责人姓名、职务）</w:t>
      </w:r>
      <w:r>
        <w:rPr>
          <w:rFonts w:hint="eastAsia" w:ascii="宋体" w:hAnsi="宋体" w:cs="宋体"/>
          <w:color w:val="auto"/>
          <w:sz w:val="24"/>
          <w:highlight w:val="none"/>
        </w:rPr>
        <w:t>授权</w:t>
      </w:r>
      <w:r>
        <w:rPr>
          <w:rFonts w:hint="default" w:ascii="宋体" w:hAnsi="宋体" w:cs="宋体"/>
          <w:color w:val="auto"/>
          <w:sz w:val="24"/>
          <w:highlight w:val="none"/>
          <w:u w:val="single"/>
        </w:rPr>
        <w:t xml:space="preserve">        </w:t>
      </w:r>
      <w:r>
        <w:rPr>
          <w:rFonts w:hint="eastAsia" w:ascii="宋体" w:hAnsi="宋体" w:cs="宋体"/>
          <w:color w:val="auto"/>
          <w:sz w:val="24"/>
          <w:highlight w:val="none"/>
          <w:u w:val="single"/>
        </w:rPr>
        <w:t>（被授权人的姓名、职务）</w:t>
      </w:r>
      <w:r>
        <w:rPr>
          <w:rFonts w:hint="eastAsia" w:ascii="宋体" w:hAnsi="宋体" w:cs="宋体"/>
          <w:color w:val="auto"/>
          <w:sz w:val="24"/>
          <w:highlight w:val="none"/>
        </w:rPr>
        <w:t>为本公司的合法代理人，就</w:t>
      </w:r>
      <w:r>
        <w:rPr>
          <w:rFonts w:hint="eastAsia" w:ascii="宋体" w:hAnsi="宋体" w:cs="宋体"/>
          <w:bCs/>
          <w:color w:val="auto"/>
          <w:sz w:val="24"/>
          <w:highlight w:val="none"/>
          <w:u w:val="single"/>
        </w:rPr>
        <w:t>　　</w:t>
      </w:r>
      <w:r>
        <w:rPr>
          <w:rFonts w:hint="eastAsia" w:ascii="宋体" w:hAnsi="宋体" w:cs="宋体"/>
          <w:bCs/>
          <w:color w:val="auto"/>
          <w:sz w:val="24"/>
          <w:highlight w:val="none"/>
          <w:u w:val="single"/>
          <w:lang w:eastAsia="zh-CN"/>
        </w:rPr>
        <w:t>（项目名称、标段名称、</w:t>
      </w:r>
      <w:r>
        <w:rPr>
          <w:rFonts w:hint="eastAsia" w:ascii="宋体" w:hAnsi="宋体" w:cs="宋体"/>
          <w:bCs/>
          <w:color w:val="auto"/>
          <w:sz w:val="24"/>
          <w:highlight w:val="none"/>
          <w:u w:val="single"/>
        </w:rPr>
        <w:t>项目编号</w:t>
      </w:r>
      <w:r>
        <w:rPr>
          <w:rFonts w:hint="eastAsia" w:ascii="宋体" w:hAnsi="宋体" w:cs="宋体"/>
          <w:color w:val="auto"/>
          <w:sz w:val="24"/>
          <w:highlight w:val="none"/>
          <w:u w:val="single"/>
        </w:rPr>
        <w:t>）</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的投标以及合同的谈判、签约、执行、完成和保修等全权负责，以本公司名义处理一切与之有关的事务。</w:t>
      </w:r>
    </w:p>
    <w:p>
      <w:pPr>
        <w:snapToGrid w:val="0"/>
        <w:spacing w:line="360" w:lineRule="auto"/>
        <w:textAlignment w:val="bottom"/>
        <w:rPr>
          <w:rFonts w:ascii="宋体" w:hAnsi="宋体" w:cs="宋体"/>
          <w:color w:val="auto"/>
          <w:sz w:val="24"/>
          <w:highlight w:val="none"/>
        </w:rPr>
      </w:pPr>
      <w:r>
        <w:rPr>
          <w:rFonts w:hint="eastAsia" w:ascii="宋体" w:hAnsi="宋体" w:cs="宋体"/>
          <w:color w:val="auto"/>
          <w:sz w:val="24"/>
          <w:highlight w:val="none"/>
        </w:rPr>
        <w:t>本授权书于</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年</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月</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日</w:t>
      </w:r>
      <w:r>
        <w:rPr>
          <w:rFonts w:hint="eastAsia" w:ascii="宋体" w:hAnsi="宋体" w:cs="宋体"/>
          <w:color w:val="auto"/>
          <w:sz w:val="24"/>
          <w:highlight w:val="none"/>
        </w:rPr>
        <w:t>签字生效，特此声明。</w:t>
      </w:r>
    </w:p>
    <w:p>
      <w:pPr>
        <w:snapToGrid w:val="0"/>
        <w:spacing w:line="360" w:lineRule="auto"/>
        <w:ind w:firstLine="975"/>
        <w:textAlignment w:val="bottom"/>
        <w:rPr>
          <w:rFonts w:ascii="宋体" w:hAnsi="宋体" w:cs="宋体"/>
          <w:color w:val="auto"/>
          <w:sz w:val="24"/>
          <w:highlight w:val="none"/>
        </w:rPr>
      </w:pPr>
    </w:p>
    <w:p>
      <w:pPr>
        <w:snapToGrid w:val="0"/>
        <w:spacing w:line="360" w:lineRule="auto"/>
        <w:ind w:firstLine="975"/>
        <w:textAlignment w:val="bottom"/>
        <w:rPr>
          <w:rFonts w:ascii="宋体" w:hAnsi="宋体" w:cs="宋体"/>
          <w:color w:val="auto"/>
          <w:sz w:val="24"/>
          <w:highlight w:val="none"/>
        </w:rPr>
      </w:pPr>
    </w:p>
    <w:p>
      <w:pPr>
        <w:snapToGrid w:val="0"/>
        <w:spacing w:line="360" w:lineRule="auto"/>
        <w:ind w:firstLine="480" w:firstLineChars="200"/>
        <w:textAlignment w:val="bottom"/>
        <w:rPr>
          <w:rFonts w:ascii="宋体" w:hAnsi="宋体" w:cs="宋体"/>
          <w:color w:val="auto"/>
          <w:sz w:val="24"/>
          <w:highlight w:val="none"/>
        </w:rPr>
      </w:pPr>
      <w:r>
        <w:rPr>
          <w:rFonts w:hint="eastAsia" w:ascii="宋体" w:hAnsi="宋体" w:cs="宋体"/>
          <w:color w:val="auto"/>
          <w:sz w:val="24"/>
          <w:highlight w:val="none"/>
        </w:rPr>
        <w:t>投标人名称（盖章）：</w:t>
      </w:r>
    </w:p>
    <w:p>
      <w:pPr>
        <w:snapToGrid w:val="0"/>
        <w:spacing w:line="360" w:lineRule="auto"/>
        <w:ind w:firstLine="972" w:firstLineChars="405"/>
        <w:textAlignment w:val="bottom"/>
        <w:rPr>
          <w:rFonts w:ascii="宋体" w:hAnsi="宋体" w:cs="宋体"/>
          <w:color w:val="auto"/>
          <w:sz w:val="24"/>
          <w:highlight w:val="none"/>
        </w:rPr>
      </w:pPr>
    </w:p>
    <w:p>
      <w:pPr>
        <w:snapToGrid w:val="0"/>
        <w:spacing w:line="360" w:lineRule="auto"/>
        <w:textAlignment w:val="bottom"/>
        <w:rPr>
          <w:rFonts w:ascii="宋体" w:hAnsi="宋体" w:cs="宋体"/>
          <w:color w:val="auto"/>
          <w:sz w:val="24"/>
          <w:highlight w:val="none"/>
        </w:rPr>
      </w:pPr>
      <w:r>
        <w:rPr>
          <w:rFonts w:hint="eastAsia" w:ascii="宋体" w:hAnsi="宋体" w:cs="宋体"/>
          <w:color w:val="auto"/>
          <w:sz w:val="24"/>
          <w:highlight w:val="none"/>
        </w:rPr>
        <w:t>地址：</w:t>
      </w:r>
    </w:p>
    <w:p>
      <w:pPr>
        <w:snapToGrid w:val="0"/>
        <w:spacing w:line="360" w:lineRule="auto"/>
        <w:textAlignment w:val="bottom"/>
        <w:rPr>
          <w:rFonts w:ascii="宋体" w:hAnsi="宋体" w:cs="宋体"/>
          <w:color w:val="auto"/>
          <w:sz w:val="24"/>
          <w:highlight w:val="none"/>
        </w:rPr>
      </w:pPr>
    </w:p>
    <w:p>
      <w:pPr>
        <w:snapToGrid w:val="0"/>
        <w:spacing w:line="360" w:lineRule="auto"/>
        <w:textAlignment w:val="bottom"/>
        <w:rPr>
          <w:rFonts w:ascii="宋体" w:hAnsi="宋体" w:cs="宋体"/>
          <w:color w:val="auto"/>
          <w:sz w:val="24"/>
          <w:highlight w:val="none"/>
        </w:rPr>
      </w:pPr>
      <w:r>
        <w:rPr>
          <w:rFonts w:ascii="宋体" w:hAnsi="宋体" w:cs="宋体"/>
          <w:color w:val="auto"/>
          <w:sz w:val="24"/>
          <w:highlight w:val="none"/>
        </w:rPr>
        <mc:AlternateContent>
          <mc:Choice Requires="wps">
            <w:drawing>
              <wp:anchor distT="0" distB="0" distL="114300" distR="114300" simplePos="0" relativeHeight="251659264" behindDoc="0" locked="0" layoutInCell="0" allowOverlap="1">
                <wp:simplePos x="0" y="0"/>
                <wp:positionH relativeFrom="column">
                  <wp:posOffset>2753360</wp:posOffset>
                </wp:positionH>
                <wp:positionV relativeFrom="paragraph">
                  <wp:posOffset>179705</wp:posOffset>
                </wp:positionV>
                <wp:extent cx="1393190" cy="0"/>
                <wp:effectExtent l="0" t="0" r="0" b="0"/>
                <wp:wrapNone/>
                <wp:docPr id="3" name="直接连接符 3"/>
                <wp:cNvGraphicFramePr/>
                <a:graphic xmlns:a="http://schemas.openxmlformats.org/drawingml/2006/main">
                  <a:graphicData uri="http://schemas.microsoft.com/office/word/2010/wordprocessingShape">
                    <wps:wsp>
                      <wps:cNvCnPr/>
                      <wps:spPr>
                        <a:xfrm>
                          <a:off x="0" y="0"/>
                          <a:ext cx="139319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216.8pt;margin-top:14.15pt;height:0pt;width:109.7pt;z-index:251659264;mso-width-relative:page;mso-height-relative:page;" filled="f" stroked="t" coordsize="21600,21600" o:allowincell="f" o:gfxdata="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S3JBatYAAAAJAQAADwAAAAAAAAABACAAAAAiAAAAZHJzL2Rvd25yZXYueG1sUEsBAhQAFAAA&#10;AAgAh07iQOLjCMjxAQAA5gMAAA4AAAAAAAAAAQAgAAAAJQEAAGRycy9lMm9Eb2MueG1sUEsFBgAA&#10;AAAGAAYAWQEAAIgFAAAAAA==&#10;">
                <v:fill on="f" focussize="0,0"/>
                <v:stroke color="#000000" joinstyle="round"/>
                <v:imagedata o:title=""/>
                <o:lock v:ext="edit" aspectratio="f"/>
              </v:line>
            </w:pict>
          </mc:Fallback>
        </mc:AlternateContent>
      </w:r>
      <w:r>
        <w:rPr>
          <w:rFonts w:hint="eastAsia" w:ascii="宋体" w:hAnsi="宋体" w:cs="宋体"/>
          <w:color w:val="auto"/>
          <w:sz w:val="24"/>
          <w:highlight w:val="none"/>
        </w:rPr>
        <w:t>授权人（单位负责人）签字：</w:t>
      </w:r>
    </w:p>
    <w:p>
      <w:pPr>
        <w:snapToGrid w:val="0"/>
        <w:spacing w:line="360" w:lineRule="auto"/>
        <w:textAlignment w:val="bottom"/>
        <w:rPr>
          <w:rFonts w:ascii="宋体" w:hAnsi="宋体" w:cs="宋体"/>
          <w:color w:val="auto"/>
          <w:sz w:val="24"/>
          <w:highlight w:val="none"/>
          <w:u w:val="single"/>
        </w:rPr>
      </w:pPr>
    </w:p>
    <w:p>
      <w:pPr>
        <w:snapToGrid w:val="0"/>
        <w:spacing w:line="360" w:lineRule="auto"/>
        <w:textAlignment w:val="bottom"/>
        <w:rPr>
          <w:rFonts w:ascii="宋体" w:hAnsi="宋体" w:cs="宋体"/>
          <w:color w:val="auto"/>
          <w:sz w:val="24"/>
          <w:highlight w:val="none"/>
          <w:u w:val="single"/>
        </w:rPr>
      </w:pPr>
      <w:r>
        <w:rPr>
          <w:rFonts w:ascii="宋体" w:hAnsi="宋体" w:cs="宋体"/>
          <w:color w:val="auto"/>
          <w:sz w:val="24"/>
          <w:highlight w:val="none"/>
        </w:rPr>
        <mc:AlternateContent>
          <mc:Choice Requires="wps">
            <w:drawing>
              <wp:anchor distT="0" distB="0" distL="114300" distR="114300" simplePos="0" relativeHeight="251660288" behindDoc="0" locked="0" layoutInCell="1" allowOverlap="1">
                <wp:simplePos x="0" y="0"/>
                <wp:positionH relativeFrom="column">
                  <wp:posOffset>2767330</wp:posOffset>
                </wp:positionH>
                <wp:positionV relativeFrom="paragraph">
                  <wp:posOffset>193675</wp:posOffset>
                </wp:positionV>
                <wp:extent cx="1360170" cy="4445"/>
                <wp:effectExtent l="0" t="0" r="0" b="0"/>
                <wp:wrapNone/>
                <wp:docPr id="1" name="直线 3"/>
                <wp:cNvGraphicFramePr/>
                <a:graphic xmlns:a="http://schemas.openxmlformats.org/drawingml/2006/main">
                  <a:graphicData uri="http://schemas.microsoft.com/office/word/2010/wordprocessingShape">
                    <wps:wsp>
                      <wps:cNvCnPr/>
                      <wps:spPr>
                        <a:xfrm>
                          <a:off x="0" y="0"/>
                          <a:ext cx="1360170" cy="444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217.9pt;margin-top:15.25pt;height:0.35pt;width:107.1pt;z-index:251660288;mso-width-relative:page;mso-height-relative:page;" filled="f" stroked="t" coordsize="21600,21600" o:gfxdata="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CZWj&#10;SdcAAAAJAQAADwAAAAAAAAABACAAAAAiAAAAZHJzL2Rvd25yZXYueG1sUEsBAhQAFAAAAAgAh07i&#10;QHy3dWHqAQAA3gMAAA4AAAAAAAAAAQAgAAAAJgEAAGRycy9lMm9Eb2MueG1sUEsFBgAAAAAGAAYA&#10;WQEAAIIFAAAAAA==&#10;">
                <v:fill on="f" focussize="0,0"/>
                <v:stroke color="#000000" joinstyle="round"/>
                <v:imagedata o:title=""/>
                <o:lock v:ext="edit" aspectratio="f"/>
              </v:line>
            </w:pict>
          </mc:Fallback>
        </mc:AlternateContent>
      </w:r>
      <w:r>
        <w:rPr>
          <w:rFonts w:hint="eastAsia" w:ascii="宋体" w:hAnsi="宋体" w:cs="宋体"/>
          <w:color w:val="auto"/>
          <w:sz w:val="24"/>
          <w:highlight w:val="none"/>
        </w:rPr>
        <w:t>被授权人（代理人）签字：</w:t>
      </w:r>
    </w:p>
    <w:p>
      <w:pPr>
        <w:snapToGrid w:val="0"/>
        <w:spacing w:line="360" w:lineRule="auto"/>
        <w:textAlignment w:val="bottom"/>
        <w:rPr>
          <w:rFonts w:ascii="宋体" w:hAnsi="宋体" w:cs="宋体"/>
          <w:bCs/>
          <w:color w:val="auto"/>
          <w:sz w:val="24"/>
          <w:highlight w:val="none"/>
        </w:rPr>
      </w:pPr>
    </w:p>
    <w:p>
      <w:pPr>
        <w:snapToGrid w:val="0"/>
        <w:spacing w:line="360" w:lineRule="auto"/>
        <w:textAlignment w:val="bottom"/>
        <w:rPr>
          <w:rFonts w:ascii="宋体" w:hAnsi="宋体" w:cs="宋体"/>
          <w:bCs/>
          <w:color w:val="auto"/>
          <w:sz w:val="24"/>
          <w:highlight w:val="none"/>
        </w:rPr>
      </w:pPr>
    </w:p>
    <w:p>
      <w:pPr>
        <w:snapToGrid w:val="0"/>
        <w:spacing w:line="360" w:lineRule="auto"/>
        <w:textAlignment w:val="bottom"/>
        <w:rPr>
          <w:rFonts w:ascii="宋体" w:hAnsi="宋体" w:cs="宋体"/>
          <w:bCs/>
          <w:color w:val="auto"/>
          <w:sz w:val="24"/>
          <w:highlight w:val="none"/>
        </w:rPr>
      </w:pPr>
    </w:p>
    <w:p>
      <w:pPr>
        <w:pStyle w:val="12"/>
        <w:spacing w:line="360" w:lineRule="auto"/>
        <w:jc w:val="center"/>
        <w:outlineLvl w:val="0"/>
        <w:rPr>
          <w:rFonts w:ascii="宋体" w:hAnsi="宋体" w:cs="宋体"/>
          <w:color w:val="auto"/>
          <w:szCs w:val="24"/>
          <w:highlight w:val="none"/>
        </w:rPr>
      </w:pPr>
      <w:bookmarkStart w:id="190" w:name="_Toc15205"/>
      <w:bookmarkStart w:id="191" w:name="_Toc31399"/>
      <w:r>
        <w:rPr>
          <w:rFonts w:hint="eastAsia" w:ascii="宋体" w:hAnsi="宋体" w:cs="宋体"/>
          <w:color w:val="auto"/>
          <w:szCs w:val="24"/>
          <w:highlight w:val="none"/>
        </w:rPr>
        <w:t>被授权人身份证粘帖处</w:t>
      </w:r>
      <w:bookmarkEnd w:id="190"/>
      <w:bookmarkEnd w:id="191"/>
    </w:p>
    <w:p>
      <w:pPr>
        <w:snapToGrid w:val="0"/>
        <w:spacing w:line="360" w:lineRule="auto"/>
        <w:textAlignment w:val="bottom"/>
        <w:rPr>
          <w:rFonts w:ascii="宋体" w:hAnsi="宋体" w:cs="宋体"/>
          <w:b/>
          <w:bCs/>
          <w:color w:val="auto"/>
          <w:sz w:val="24"/>
          <w:szCs w:val="28"/>
          <w:highlight w:val="none"/>
        </w:rPr>
      </w:pPr>
    </w:p>
    <w:p>
      <w:pPr>
        <w:pStyle w:val="11"/>
        <w:spacing w:line="500" w:lineRule="exact"/>
        <w:jc w:val="left"/>
        <w:rPr>
          <w:rFonts w:hint="default" w:hAnsi="宋体" w:cs="宋体"/>
          <w:b/>
          <w:color w:val="auto"/>
          <w:sz w:val="24"/>
          <w:szCs w:val="28"/>
          <w:highlight w:val="none"/>
        </w:rPr>
        <w:sectPr>
          <w:pgSz w:w="11906" w:h="16838"/>
          <w:pgMar w:top="1361" w:right="1304" w:bottom="1247" w:left="1304" w:header="680" w:footer="680" w:gutter="0"/>
          <w:cols w:space="720" w:num="1"/>
          <w:docGrid w:linePitch="312" w:charSpace="0"/>
        </w:sectPr>
      </w:pPr>
    </w:p>
    <w:p>
      <w:pPr>
        <w:pStyle w:val="11"/>
        <w:spacing w:line="500" w:lineRule="exact"/>
        <w:jc w:val="left"/>
        <w:rPr>
          <w:rFonts w:hint="default" w:hAnsi="宋体" w:cs="宋体"/>
          <w:b/>
          <w:color w:val="auto"/>
          <w:sz w:val="24"/>
          <w:szCs w:val="28"/>
          <w:highlight w:val="none"/>
        </w:rPr>
      </w:pPr>
      <w:r>
        <w:rPr>
          <w:rFonts w:hAnsi="宋体" w:cs="宋体"/>
          <w:b/>
          <w:color w:val="auto"/>
          <w:sz w:val="24"/>
          <w:szCs w:val="28"/>
          <w:highlight w:val="none"/>
        </w:rPr>
        <w:t>格式八：</w:t>
      </w:r>
    </w:p>
    <w:p>
      <w:pPr>
        <w:pStyle w:val="11"/>
        <w:spacing w:line="500" w:lineRule="exact"/>
        <w:jc w:val="center"/>
        <w:outlineLvl w:val="0"/>
        <w:rPr>
          <w:rFonts w:hint="default" w:hAnsi="宋体" w:cs="宋体"/>
          <w:b/>
          <w:color w:val="auto"/>
          <w:sz w:val="24"/>
          <w:szCs w:val="28"/>
          <w:highlight w:val="none"/>
        </w:rPr>
      </w:pPr>
      <w:bookmarkStart w:id="192" w:name="_Toc4993"/>
      <w:bookmarkStart w:id="193" w:name="_Toc31145"/>
      <w:r>
        <w:rPr>
          <w:rFonts w:hAnsi="宋体" w:cs="宋体"/>
          <w:b/>
          <w:color w:val="auto"/>
          <w:sz w:val="24"/>
          <w:szCs w:val="28"/>
          <w:highlight w:val="none"/>
        </w:rPr>
        <w:t>中标服务费承诺书（格式）</w:t>
      </w:r>
      <w:bookmarkEnd w:id="192"/>
      <w:bookmarkEnd w:id="193"/>
    </w:p>
    <w:p>
      <w:pPr>
        <w:autoSpaceDE w:val="0"/>
        <w:autoSpaceDN w:val="0"/>
        <w:ind w:right="-36"/>
        <w:textAlignment w:val="bottom"/>
        <w:rPr>
          <w:rFonts w:ascii="宋体" w:hAnsi="宋体"/>
          <w:color w:val="auto"/>
          <w:highlight w:val="none"/>
        </w:rPr>
      </w:pPr>
    </w:p>
    <w:p>
      <w:pPr>
        <w:tabs>
          <w:tab w:val="left" w:pos="-360"/>
        </w:tabs>
        <w:autoSpaceDE w:val="0"/>
        <w:autoSpaceDN w:val="0"/>
        <w:spacing w:line="400" w:lineRule="exact"/>
        <w:ind w:left="5912" w:leftChars="2475" w:hanging="714" w:hangingChars="340"/>
        <w:textAlignment w:val="bottom"/>
        <w:rPr>
          <w:rFonts w:ascii="Arial" w:hAnsi="Arial" w:cs="Arial"/>
          <w:color w:val="auto"/>
          <w:szCs w:val="21"/>
          <w:highlight w:val="none"/>
        </w:rPr>
      </w:pPr>
    </w:p>
    <w:p>
      <w:pPr>
        <w:outlineLvl w:val="9"/>
        <w:rPr>
          <w:rFonts w:ascii="Arial" w:hAnsi="Arial" w:cs="Arial"/>
          <w:bCs/>
          <w:color w:val="auto"/>
          <w:szCs w:val="21"/>
          <w:highlight w:val="none"/>
        </w:rPr>
      </w:pPr>
    </w:p>
    <w:p>
      <w:pPr>
        <w:autoSpaceDE w:val="0"/>
        <w:autoSpaceDN w:val="0"/>
        <w:spacing w:line="360" w:lineRule="auto"/>
        <w:ind w:right="-34"/>
        <w:textAlignment w:val="bottom"/>
        <w:rPr>
          <w:rFonts w:ascii="Arial" w:hAnsi="Arial" w:cs="Arial"/>
          <w:color w:val="auto"/>
          <w:szCs w:val="21"/>
          <w:highlight w:val="none"/>
        </w:rPr>
      </w:pPr>
    </w:p>
    <w:p>
      <w:pPr>
        <w:pStyle w:val="12"/>
        <w:spacing w:line="360" w:lineRule="auto"/>
        <w:outlineLvl w:val="0"/>
        <w:rPr>
          <w:rFonts w:hint="eastAsia" w:ascii="宋体" w:hAnsi="宋体" w:eastAsia="宋体" w:cs="宋体"/>
          <w:color w:val="auto"/>
          <w:szCs w:val="24"/>
          <w:highlight w:val="none"/>
          <w:lang w:eastAsia="zh-CN"/>
        </w:rPr>
      </w:pPr>
      <w:bookmarkStart w:id="194" w:name="_Toc13838"/>
      <w:bookmarkStart w:id="195" w:name="_Toc14567"/>
      <w:r>
        <w:rPr>
          <w:rFonts w:hint="eastAsia" w:ascii="宋体" w:hAnsi="宋体" w:cs="宋体"/>
          <w:color w:val="auto"/>
          <w:szCs w:val="24"/>
          <w:highlight w:val="none"/>
        </w:rPr>
        <w:t>致：</w:t>
      </w:r>
      <w:r>
        <w:rPr>
          <w:rFonts w:hint="eastAsia" w:ascii="宋体" w:hAnsi="宋体" w:cs="宋体"/>
          <w:color w:val="auto"/>
          <w:szCs w:val="24"/>
          <w:highlight w:val="none"/>
          <w:lang w:eastAsia="zh-CN"/>
        </w:rPr>
        <w:t>中峪国际项目管理有限公司</w:t>
      </w:r>
      <w:bookmarkEnd w:id="194"/>
      <w:bookmarkEnd w:id="195"/>
    </w:p>
    <w:p>
      <w:pPr>
        <w:pStyle w:val="12"/>
        <w:spacing w:line="360" w:lineRule="auto"/>
        <w:outlineLvl w:val="9"/>
        <w:rPr>
          <w:rFonts w:ascii="宋体" w:hAnsi="宋体" w:cs="宋体"/>
          <w:color w:val="auto"/>
          <w:szCs w:val="24"/>
          <w:highlight w:val="none"/>
        </w:rPr>
      </w:pPr>
    </w:p>
    <w:p>
      <w:pPr>
        <w:pStyle w:val="12"/>
        <w:spacing w:line="360" w:lineRule="auto"/>
        <w:ind w:firstLine="720" w:firstLineChars="300"/>
        <w:outlineLvl w:val="0"/>
        <w:rPr>
          <w:rFonts w:ascii="宋体" w:hAnsi="宋体" w:cs="宋体"/>
          <w:color w:val="auto"/>
          <w:szCs w:val="24"/>
          <w:highlight w:val="none"/>
        </w:rPr>
      </w:pPr>
      <w:bookmarkStart w:id="196" w:name="_Toc15185"/>
      <w:bookmarkStart w:id="197" w:name="_Toc21494"/>
      <w:r>
        <w:rPr>
          <w:rFonts w:hint="eastAsia" w:ascii="宋体" w:hAnsi="宋体" w:cs="宋体"/>
          <w:color w:val="auto"/>
          <w:szCs w:val="24"/>
          <w:highlight w:val="none"/>
        </w:rPr>
        <w:t>我们在贵公司代理的项目采购中若获成交（</w:t>
      </w:r>
      <w:r>
        <w:rPr>
          <w:rFonts w:hint="eastAsia" w:ascii="宋体" w:hAnsi="宋体" w:cs="宋体"/>
          <w:color w:val="auto"/>
          <w:szCs w:val="24"/>
          <w:highlight w:val="none"/>
          <w:u w:val="single"/>
        </w:rPr>
        <w:t>项目编号：</w:t>
      </w:r>
      <w:r>
        <w:rPr>
          <w:rFonts w:hint="eastAsia" w:ascii="宋体" w:hAnsi="宋体" w:cs="宋体"/>
          <w:color w:val="auto"/>
          <w:szCs w:val="24"/>
          <w:highlight w:val="none"/>
          <w:u w:val="single"/>
          <w:lang w:val="en-US" w:eastAsia="zh-CN"/>
        </w:rPr>
        <w:t xml:space="preserve">    </w:t>
      </w:r>
      <w:r>
        <w:rPr>
          <w:rFonts w:hint="eastAsia" w:ascii="宋体" w:hAnsi="宋体" w:cs="宋体"/>
          <w:color w:val="auto"/>
          <w:szCs w:val="24"/>
          <w:highlight w:val="none"/>
        </w:rPr>
        <w:t>），我们保证在收到中标通知后2个工作日内按招标文件的规定，向贵公司即</w:t>
      </w:r>
      <w:r>
        <w:rPr>
          <w:rFonts w:hint="eastAsia" w:ascii="宋体" w:hAnsi="宋体" w:cs="宋体"/>
          <w:color w:val="auto"/>
          <w:szCs w:val="24"/>
          <w:highlight w:val="none"/>
          <w:lang w:eastAsia="zh-CN"/>
        </w:rPr>
        <w:t>中峪国际项目管理有限公司</w:t>
      </w:r>
      <w:r>
        <w:rPr>
          <w:rFonts w:hint="eastAsia" w:ascii="宋体" w:hAnsi="宋体" w:cs="宋体"/>
          <w:color w:val="auto"/>
          <w:szCs w:val="24"/>
          <w:highlight w:val="none"/>
        </w:rPr>
        <w:t>按照取费规定一次性支付中标服务费。</w:t>
      </w:r>
      <w:bookmarkEnd w:id="196"/>
      <w:bookmarkEnd w:id="197"/>
    </w:p>
    <w:p>
      <w:pPr>
        <w:pStyle w:val="12"/>
        <w:spacing w:line="360" w:lineRule="auto"/>
        <w:outlineLvl w:val="9"/>
        <w:rPr>
          <w:rFonts w:ascii="宋体" w:hAnsi="宋体" w:cs="宋体"/>
          <w:color w:val="auto"/>
          <w:szCs w:val="24"/>
          <w:highlight w:val="none"/>
        </w:rPr>
      </w:pPr>
    </w:p>
    <w:p>
      <w:pPr>
        <w:pStyle w:val="12"/>
        <w:spacing w:line="360" w:lineRule="auto"/>
        <w:outlineLvl w:val="9"/>
        <w:rPr>
          <w:rFonts w:ascii="宋体" w:hAnsi="宋体" w:cs="宋体"/>
          <w:color w:val="auto"/>
          <w:szCs w:val="24"/>
          <w:highlight w:val="none"/>
        </w:rPr>
      </w:pPr>
    </w:p>
    <w:p>
      <w:pPr>
        <w:pStyle w:val="12"/>
        <w:spacing w:line="360" w:lineRule="auto"/>
        <w:outlineLvl w:val="0"/>
        <w:rPr>
          <w:rFonts w:ascii="宋体" w:hAnsi="宋体" w:cs="宋体"/>
          <w:color w:val="auto"/>
          <w:szCs w:val="24"/>
          <w:highlight w:val="none"/>
        </w:rPr>
      </w:pPr>
      <w:bookmarkStart w:id="198" w:name="_Toc25527"/>
      <w:bookmarkStart w:id="199" w:name="_Toc2082"/>
      <w:r>
        <w:rPr>
          <w:rFonts w:hint="eastAsia" w:ascii="宋体" w:hAnsi="宋体" w:cs="宋体"/>
          <w:color w:val="auto"/>
          <w:szCs w:val="24"/>
          <w:highlight w:val="none"/>
        </w:rPr>
        <w:t>特此承诺。</w:t>
      </w:r>
      <w:bookmarkEnd w:id="198"/>
      <w:bookmarkEnd w:id="199"/>
    </w:p>
    <w:p>
      <w:pPr>
        <w:pStyle w:val="12"/>
        <w:spacing w:line="360" w:lineRule="auto"/>
        <w:outlineLvl w:val="9"/>
        <w:rPr>
          <w:rFonts w:ascii="宋体" w:hAnsi="宋体" w:cs="宋体"/>
          <w:color w:val="auto"/>
          <w:szCs w:val="24"/>
          <w:highlight w:val="none"/>
        </w:rPr>
      </w:pPr>
    </w:p>
    <w:p>
      <w:pPr>
        <w:pStyle w:val="12"/>
        <w:spacing w:line="360" w:lineRule="auto"/>
        <w:outlineLvl w:val="9"/>
        <w:rPr>
          <w:rFonts w:ascii="宋体" w:hAnsi="宋体" w:cs="宋体"/>
          <w:color w:val="auto"/>
          <w:szCs w:val="24"/>
          <w:highlight w:val="none"/>
        </w:rPr>
      </w:pPr>
    </w:p>
    <w:p>
      <w:pPr>
        <w:pStyle w:val="12"/>
        <w:spacing w:line="360" w:lineRule="auto"/>
        <w:outlineLvl w:val="0"/>
        <w:rPr>
          <w:rFonts w:ascii="宋体" w:hAnsi="宋体" w:cs="宋体"/>
          <w:color w:val="auto"/>
          <w:szCs w:val="24"/>
          <w:highlight w:val="none"/>
        </w:rPr>
      </w:pPr>
      <w:bookmarkStart w:id="200" w:name="_Toc10260"/>
      <w:bookmarkStart w:id="201" w:name="_Toc18842"/>
      <w:r>
        <w:rPr>
          <w:rFonts w:hint="eastAsia" w:ascii="宋体" w:hAnsi="宋体" w:cs="宋体"/>
          <w:color w:val="auto"/>
          <w:szCs w:val="24"/>
          <w:highlight w:val="none"/>
        </w:rPr>
        <w:t>承诺方法定名称：</w:t>
      </w:r>
      <w:bookmarkEnd w:id="200"/>
      <w:bookmarkEnd w:id="201"/>
    </w:p>
    <w:p>
      <w:pPr>
        <w:pStyle w:val="12"/>
        <w:spacing w:line="360" w:lineRule="auto"/>
        <w:outlineLvl w:val="0"/>
        <w:rPr>
          <w:rFonts w:ascii="宋体" w:hAnsi="宋体" w:cs="宋体"/>
          <w:color w:val="auto"/>
          <w:szCs w:val="24"/>
          <w:highlight w:val="none"/>
        </w:rPr>
      </w:pPr>
      <w:bookmarkStart w:id="202" w:name="_Toc28840"/>
      <w:bookmarkStart w:id="203" w:name="_Toc8321"/>
      <w:r>
        <w:rPr>
          <w:rFonts w:hint="eastAsia" w:ascii="宋体" w:hAnsi="宋体" w:cs="宋体"/>
          <w:color w:val="auto"/>
          <w:szCs w:val="24"/>
          <w:highlight w:val="none"/>
        </w:rPr>
        <w:t>地址：</w:t>
      </w:r>
      <w:bookmarkEnd w:id="202"/>
      <w:bookmarkEnd w:id="203"/>
    </w:p>
    <w:p>
      <w:pPr>
        <w:pStyle w:val="12"/>
        <w:spacing w:line="360" w:lineRule="auto"/>
        <w:outlineLvl w:val="0"/>
        <w:rPr>
          <w:rFonts w:ascii="宋体" w:hAnsi="宋体" w:cs="宋体"/>
          <w:color w:val="auto"/>
          <w:szCs w:val="24"/>
          <w:highlight w:val="none"/>
        </w:rPr>
      </w:pPr>
      <w:bookmarkStart w:id="204" w:name="_Toc26826"/>
      <w:bookmarkStart w:id="205" w:name="_Toc11293"/>
      <w:r>
        <w:rPr>
          <w:rFonts w:hint="eastAsia" w:ascii="宋体" w:hAnsi="宋体" w:cs="宋体"/>
          <w:color w:val="auto"/>
          <w:szCs w:val="24"/>
          <w:highlight w:val="none"/>
        </w:rPr>
        <w:t>电话：</w:t>
      </w:r>
      <w:r>
        <w:rPr>
          <w:rFonts w:hint="eastAsia" w:ascii="宋体" w:hAnsi="宋体" w:cs="宋体"/>
          <w:color w:val="auto"/>
          <w:szCs w:val="24"/>
          <w:highlight w:val="none"/>
          <w:lang w:val="en-US" w:eastAsia="zh-CN"/>
        </w:rPr>
        <w:t xml:space="preserve">     </w:t>
      </w:r>
      <w:r>
        <w:rPr>
          <w:rFonts w:hint="eastAsia" w:ascii="宋体" w:hAnsi="宋体" w:cs="宋体"/>
          <w:color w:val="auto"/>
          <w:szCs w:val="24"/>
          <w:highlight w:val="none"/>
        </w:rPr>
        <w:t>传真：</w:t>
      </w:r>
      <w:bookmarkEnd w:id="204"/>
      <w:bookmarkEnd w:id="205"/>
    </w:p>
    <w:p>
      <w:pPr>
        <w:pStyle w:val="12"/>
        <w:spacing w:line="360" w:lineRule="auto"/>
        <w:outlineLvl w:val="0"/>
        <w:rPr>
          <w:rFonts w:ascii="宋体" w:hAnsi="宋体" w:cs="宋体"/>
          <w:color w:val="auto"/>
          <w:szCs w:val="24"/>
          <w:highlight w:val="none"/>
        </w:rPr>
      </w:pPr>
      <w:bookmarkStart w:id="206" w:name="_Toc29066"/>
      <w:bookmarkStart w:id="207" w:name="_Toc4660"/>
      <w:r>
        <w:rPr>
          <w:rFonts w:hint="eastAsia" w:ascii="宋体" w:hAnsi="宋体" w:cs="宋体"/>
          <w:color w:val="auto"/>
          <w:szCs w:val="24"/>
          <w:highlight w:val="none"/>
        </w:rPr>
        <w:t>电传：</w:t>
      </w:r>
      <w:r>
        <w:rPr>
          <w:rFonts w:hint="eastAsia" w:ascii="宋体" w:hAnsi="宋体" w:cs="宋体"/>
          <w:color w:val="auto"/>
          <w:szCs w:val="24"/>
          <w:highlight w:val="none"/>
          <w:lang w:val="en-US" w:eastAsia="zh-CN"/>
        </w:rPr>
        <w:t xml:space="preserve">     </w:t>
      </w:r>
      <w:r>
        <w:rPr>
          <w:rFonts w:hint="eastAsia" w:ascii="宋体" w:hAnsi="宋体" w:cs="宋体"/>
          <w:color w:val="auto"/>
          <w:szCs w:val="24"/>
          <w:highlight w:val="none"/>
        </w:rPr>
        <w:t>邮编：</w:t>
      </w:r>
      <w:bookmarkEnd w:id="206"/>
      <w:bookmarkEnd w:id="207"/>
    </w:p>
    <w:p>
      <w:pPr>
        <w:pStyle w:val="12"/>
        <w:spacing w:line="360" w:lineRule="auto"/>
        <w:outlineLvl w:val="0"/>
        <w:rPr>
          <w:rFonts w:ascii="宋体" w:hAnsi="宋体" w:cs="宋体"/>
          <w:color w:val="auto"/>
          <w:szCs w:val="24"/>
          <w:highlight w:val="none"/>
        </w:rPr>
      </w:pPr>
      <w:bookmarkStart w:id="208" w:name="_Toc21425"/>
      <w:bookmarkStart w:id="209" w:name="_Toc4981"/>
      <w:r>
        <w:rPr>
          <w:rFonts w:hint="eastAsia" w:ascii="宋体" w:hAnsi="宋体" w:cs="宋体"/>
          <w:color w:val="auto"/>
          <w:szCs w:val="24"/>
          <w:highlight w:val="none"/>
        </w:rPr>
        <w:t>承诺方授权代表签字：（承诺方盖章）</w:t>
      </w:r>
      <w:bookmarkEnd w:id="208"/>
      <w:bookmarkEnd w:id="209"/>
    </w:p>
    <w:p>
      <w:pPr>
        <w:pStyle w:val="12"/>
        <w:spacing w:line="360" w:lineRule="auto"/>
        <w:outlineLvl w:val="0"/>
        <w:rPr>
          <w:rFonts w:ascii="宋体" w:hAnsi="宋体" w:cs="宋体"/>
          <w:color w:val="auto"/>
          <w:szCs w:val="24"/>
          <w:highlight w:val="none"/>
        </w:rPr>
      </w:pPr>
      <w:bookmarkStart w:id="210" w:name="_Toc5222"/>
      <w:bookmarkStart w:id="211" w:name="_Toc15970"/>
      <w:r>
        <w:rPr>
          <w:rFonts w:hint="eastAsia" w:ascii="宋体" w:hAnsi="宋体" w:cs="宋体"/>
          <w:color w:val="auto"/>
          <w:szCs w:val="24"/>
          <w:highlight w:val="none"/>
        </w:rPr>
        <w:t>承诺日期：</w:t>
      </w:r>
      <w:bookmarkEnd w:id="210"/>
      <w:bookmarkEnd w:id="211"/>
    </w:p>
    <w:p>
      <w:pPr>
        <w:snapToGrid w:val="0"/>
        <w:spacing w:line="360" w:lineRule="auto"/>
        <w:textAlignment w:val="bottom"/>
        <w:rPr>
          <w:rFonts w:ascii="宋体" w:hAnsi="宋体" w:cs="宋体"/>
          <w:b/>
          <w:bCs/>
          <w:color w:val="auto"/>
          <w:sz w:val="24"/>
          <w:szCs w:val="28"/>
          <w:highlight w:val="none"/>
        </w:rPr>
        <w:sectPr>
          <w:pgSz w:w="11906" w:h="16838"/>
          <w:pgMar w:top="1361" w:right="1304" w:bottom="1247" w:left="1304" w:header="680" w:footer="680" w:gutter="0"/>
          <w:cols w:space="720" w:num="1"/>
          <w:docGrid w:linePitch="312" w:charSpace="0"/>
        </w:sectPr>
      </w:pPr>
    </w:p>
    <w:p>
      <w:pPr>
        <w:snapToGrid w:val="0"/>
        <w:spacing w:line="360" w:lineRule="auto"/>
        <w:textAlignment w:val="bottom"/>
        <w:rPr>
          <w:rFonts w:ascii="宋体" w:hAnsi="宋体" w:cs="宋体"/>
          <w:b/>
          <w:color w:val="auto"/>
          <w:sz w:val="24"/>
          <w:szCs w:val="28"/>
          <w:highlight w:val="none"/>
        </w:rPr>
      </w:pPr>
      <w:r>
        <w:rPr>
          <w:rFonts w:hint="eastAsia" w:ascii="宋体" w:hAnsi="宋体" w:cs="宋体"/>
          <w:b/>
          <w:color w:val="auto"/>
          <w:sz w:val="24"/>
          <w:szCs w:val="28"/>
          <w:highlight w:val="none"/>
        </w:rPr>
        <w:t>格式九：</w:t>
      </w:r>
    </w:p>
    <w:p>
      <w:pPr>
        <w:widowControl/>
        <w:autoSpaceDE w:val="0"/>
        <w:autoSpaceDN w:val="0"/>
        <w:ind w:right="-12"/>
        <w:jc w:val="center"/>
        <w:textAlignment w:val="bottom"/>
        <w:outlineLvl w:val="0"/>
        <w:rPr>
          <w:rFonts w:ascii="宋体" w:hAnsi="宋体" w:cs="宋体"/>
          <w:bCs/>
          <w:color w:val="auto"/>
          <w:sz w:val="24"/>
          <w:highlight w:val="none"/>
        </w:rPr>
      </w:pPr>
      <w:r>
        <w:rPr>
          <w:rFonts w:hint="eastAsia" w:ascii="宋体" w:hAnsi="宋体" w:cs="宋体"/>
          <w:b/>
          <w:color w:val="auto"/>
          <w:sz w:val="24"/>
          <w:highlight w:val="none"/>
        </w:rPr>
        <w:t xml:space="preserve"> </w:t>
      </w:r>
      <w:bookmarkStart w:id="212" w:name="_Toc24956"/>
      <w:bookmarkStart w:id="213" w:name="_Toc31739"/>
      <w:r>
        <w:rPr>
          <w:rFonts w:hint="eastAsia" w:ascii="宋体" w:hAnsi="宋体" w:cs="宋体"/>
          <w:b/>
          <w:color w:val="auto"/>
          <w:sz w:val="24"/>
          <w:highlight w:val="none"/>
        </w:rPr>
        <w:t>中小企业声明函</w:t>
      </w:r>
      <w:r>
        <w:rPr>
          <w:rFonts w:hint="eastAsia" w:ascii="宋体" w:hAnsi="宋体" w:cs="宋体"/>
          <w:b/>
          <w:color w:val="auto"/>
          <w:sz w:val="24"/>
          <w:szCs w:val="28"/>
          <w:highlight w:val="none"/>
        </w:rPr>
        <w:t>（格式）</w:t>
      </w:r>
      <w:bookmarkEnd w:id="212"/>
      <w:bookmarkEnd w:id="213"/>
    </w:p>
    <w:p>
      <w:pPr>
        <w:pStyle w:val="19"/>
        <w:snapToGrid w:val="0"/>
        <w:spacing w:beforeAutospacing="0" w:afterAutospacing="0" w:line="440" w:lineRule="exact"/>
        <w:jc w:val="center"/>
        <w:rPr>
          <w:bCs/>
          <w:color w:val="auto"/>
          <w:highlight w:val="none"/>
        </w:rPr>
      </w:pPr>
    </w:p>
    <w:p>
      <w:pPr>
        <w:pStyle w:val="19"/>
        <w:snapToGrid w:val="0"/>
        <w:spacing w:beforeAutospacing="0" w:afterAutospacing="0" w:line="440" w:lineRule="exact"/>
        <w:jc w:val="center"/>
        <w:rPr>
          <w:bCs/>
          <w:color w:val="auto"/>
          <w:highlight w:val="none"/>
        </w:rPr>
      </w:pPr>
    </w:p>
    <w:p>
      <w:pPr>
        <w:keepNext w:val="0"/>
        <w:keepLines w:val="0"/>
        <w:pageBreakBefore w:val="0"/>
        <w:widowControl w:val="0"/>
        <w:kinsoku/>
        <w:wordWrap/>
        <w:overflowPunct/>
        <w:topLinePunct w:val="0"/>
        <w:autoSpaceDE/>
        <w:autoSpaceDN/>
        <w:bidi w:val="0"/>
        <w:adjustRightInd w:val="0"/>
        <w:snapToGrid w:val="0"/>
        <w:spacing w:line="520" w:lineRule="atLeast"/>
        <w:ind w:firstLine="561"/>
        <w:textAlignment w:val="auto"/>
        <w:rPr>
          <w:rFonts w:ascii="宋体" w:hAnsi="宋体" w:eastAsia="宋体" w:cs="宋体"/>
          <w:color w:val="auto"/>
          <w:sz w:val="24"/>
          <w:szCs w:val="24"/>
          <w:highlight w:val="none"/>
        </w:rPr>
      </w:pPr>
      <w:r>
        <w:rPr>
          <w:rFonts w:ascii="宋体" w:hAnsi="宋体" w:eastAsia="宋体" w:cs="宋体"/>
          <w:color w:val="auto"/>
          <w:sz w:val="24"/>
          <w:szCs w:val="24"/>
          <w:highlight w:val="none"/>
        </w:rPr>
        <w:t>本公司（联合体）郑重声明，根据《政府采购促进中小企业发展管理办法》（财库﹝2020﹞46 号）的规定，本公司（联合体）参加</w:t>
      </w:r>
      <w:r>
        <w:rPr>
          <w:rFonts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u w:val="single"/>
          <w:lang w:val="en-US" w:eastAsia="zh-CN"/>
        </w:rPr>
        <w:t xml:space="preserve">   </w:t>
      </w:r>
      <w:r>
        <w:rPr>
          <w:rFonts w:ascii="宋体" w:hAnsi="宋体" w:eastAsia="宋体" w:cs="宋体"/>
          <w:color w:val="auto"/>
          <w:sz w:val="24"/>
          <w:szCs w:val="24"/>
          <w:highlight w:val="none"/>
        </w:rPr>
        <w:t>的</w:t>
      </w:r>
      <w:r>
        <w:rPr>
          <w:rFonts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u w:val="single"/>
          <w:lang w:val="en-US" w:eastAsia="zh-CN"/>
        </w:rPr>
        <w:t xml:space="preserve">   </w:t>
      </w:r>
      <w:r>
        <w:rPr>
          <w:rFonts w:ascii="宋体" w:hAnsi="宋体" w:eastAsia="宋体" w:cs="宋体"/>
          <w:color w:val="auto"/>
          <w:sz w:val="24"/>
          <w:szCs w:val="24"/>
          <w:highlight w:val="none"/>
        </w:rPr>
        <w:t xml:space="preserve">采购活动，提供的货物全部由符合政策要求的中小企业制造。相关企业 （含联合体中的中小企业、签订分包意向协议的中小企业） 的具体情况如下： </w:t>
      </w:r>
    </w:p>
    <w:p>
      <w:pPr>
        <w:keepNext w:val="0"/>
        <w:keepLines w:val="0"/>
        <w:pageBreakBefore w:val="0"/>
        <w:widowControl w:val="0"/>
        <w:numPr>
          <w:ilvl w:val="0"/>
          <w:numId w:val="10"/>
        </w:numPr>
        <w:kinsoku/>
        <w:wordWrap/>
        <w:overflowPunct/>
        <w:topLinePunct w:val="0"/>
        <w:autoSpaceDE/>
        <w:autoSpaceDN/>
        <w:bidi w:val="0"/>
        <w:adjustRightInd w:val="0"/>
        <w:snapToGrid w:val="0"/>
        <w:spacing w:line="520" w:lineRule="atLeast"/>
        <w:ind w:firstLine="560"/>
        <w:textAlignment w:val="auto"/>
        <w:rPr>
          <w:rFonts w:hint="eastAsia" w:ascii="宋体" w:hAnsi="宋体" w:eastAsia="宋体" w:cs="宋体"/>
          <w:color w:val="auto"/>
          <w:sz w:val="24"/>
          <w:szCs w:val="24"/>
          <w:highlight w:val="none"/>
          <w:lang w:val="en-US" w:eastAsia="zh-CN"/>
        </w:rPr>
      </w:pPr>
      <w:r>
        <w:rPr>
          <w:rFonts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u w:val="single"/>
        </w:rPr>
        <w:t>热成像空气呼吸器</w:t>
      </w:r>
      <w:r>
        <w:rPr>
          <w:rFonts w:ascii="宋体" w:hAnsi="宋体" w:eastAsia="宋体" w:cs="宋体"/>
          <w:color w:val="auto"/>
          <w:sz w:val="24"/>
          <w:szCs w:val="24"/>
          <w:highlight w:val="none"/>
          <w:u w:val="single"/>
        </w:rPr>
        <w:t xml:space="preserve"> </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（采购文件中明确的所属行业）</w:t>
      </w:r>
      <w:r>
        <w:rPr>
          <w:rFonts w:hint="eastAsia" w:ascii="宋体" w:hAnsi="宋体" w:cs="宋体"/>
          <w:b/>
          <w:bCs/>
          <w:color w:val="auto"/>
          <w:sz w:val="24"/>
          <w:szCs w:val="24"/>
          <w:highlight w:val="none"/>
          <w:u w:val="single"/>
          <w:lang w:eastAsia="zh-CN"/>
        </w:rPr>
        <w:t>工业</w:t>
      </w:r>
      <w:r>
        <w:rPr>
          <w:rFonts w:ascii="宋体" w:hAnsi="宋体" w:eastAsia="宋体" w:cs="宋体"/>
          <w:color w:val="auto"/>
          <w:sz w:val="24"/>
          <w:szCs w:val="24"/>
          <w:highlight w:val="none"/>
          <w:u w:val="single"/>
        </w:rPr>
        <w:t xml:space="preserve"> 行业</w:t>
      </w:r>
      <w:r>
        <w:rPr>
          <w:rFonts w:ascii="宋体" w:hAnsi="宋体" w:eastAsia="宋体" w:cs="宋体"/>
          <w:color w:val="auto"/>
          <w:sz w:val="24"/>
          <w:szCs w:val="24"/>
          <w:highlight w:val="none"/>
        </w:rPr>
        <w:t>；制造商为</w:t>
      </w:r>
      <w:r>
        <w:rPr>
          <w:rFonts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u w:val="single"/>
          <w:lang w:val="en-US" w:eastAsia="zh-CN"/>
        </w:rPr>
        <w:t xml:space="preserve"> </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lang w:val="en-US" w:eastAsia="zh-CN"/>
        </w:rPr>
        <w:t xml:space="preserve">      </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p>
    <w:p>
      <w:pPr>
        <w:keepNext w:val="0"/>
        <w:keepLines w:val="0"/>
        <w:pageBreakBefore w:val="0"/>
        <w:widowControl w:val="0"/>
        <w:numPr>
          <w:ilvl w:val="0"/>
          <w:numId w:val="10"/>
        </w:numPr>
        <w:kinsoku/>
        <w:wordWrap/>
        <w:overflowPunct/>
        <w:topLinePunct w:val="0"/>
        <w:autoSpaceDE/>
        <w:autoSpaceDN/>
        <w:bidi w:val="0"/>
        <w:adjustRightInd w:val="0"/>
        <w:snapToGrid w:val="0"/>
        <w:spacing w:line="520" w:lineRule="atLeast"/>
        <w:ind w:firstLine="560"/>
        <w:textAlignment w:val="auto"/>
        <w:rPr>
          <w:color w:val="auto"/>
          <w:sz w:val="24"/>
          <w:szCs w:val="24"/>
          <w:highlight w:val="none"/>
        </w:rPr>
      </w:pPr>
      <w:r>
        <w:rPr>
          <w:rFonts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u w:val="single"/>
        </w:rPr>
        <w:t>氧气呼吸器</w:t>
      </w:r>
      <w:r>
        <w:rPr>
          <w:rFonts w:ascii="宋体" w:hAnsi="宋体" w:eastAsia="宋体" w:cs="宋体"/>
          <w:color w:val="auto"/>
          <w:sz w:val="24"/>
          <w:szCs w:val="24"/>
          <w:highlight w:val="none"/>
          <w:u w:val="single"/>
        </w:rPr>
        <w:t xml:space="preserve"> </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（采购文件中明确的所属行业）</w:t>
      </w:r>
      <w:r>
        <w:rPr>
          <w:rFonts w:hint="eastAsia" w:ascii="宋体" w:hAnsi="宋体" w:cs="宋体"/>
          <w:b/>
          <w:bCs/>
          <w:color w:val="auto"/>
          <w:sz w:val="24"/>
          <w:szCs w:val="24"/>
          <w:highlight w:val="none"/>
          <w:u w:val="single"/>
          <w:lang w:eastAsia="zh-CN"/>
        </w:rPr>
        <w:t>工业</w:t>
      </w:r>
      <w:r>
        <w:rPr>
          <w:rFonts w:ascii="宋体" w:hAnsi="宋体" w:eastAsia="宋体" w:cs="宋体"/>
          <w:color w:val="auto"/>
          <w:sz w:val="24"/>
          <w:szCs w:val="24"/>
          <w:highlight w:val="none"/>
          <w:u w:val="single"/>
        </w:rPr>
        <w:t xml:space="preserve"> 行业</w:t>
      </w:r>
      <w:r>
        <w:rPr>
          <w:rFonts w:ascii="宋体" w:hAnsi="宋体" w:eastAsia="宋体" w:cs="宋体"/>
          <w:color w:val="auto"/>
          <w:sz w:val="24"/>
          <w:szCs w:val="24"/>
          <w:highlight w:val="none"/>
        </w:rPr>
        <w:t>；制造商为</w:t>
      </w:r>
      <w:r>
        <w:rPr>
          <w:rFonts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u w:val="single"/>
          <w:lang w:val="en-US" w:eastAsia="zh-CN"/>
        </w:rPr>
        <w:t xml:space="preserve">    </w:t>
      </w:r>
      <w:r>
        <w:rPr>
          <w:rFonts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lang w:val="en-US" w:eastAsia="zh-CN"/>
        </w:rPr>
        <w:t xml:space="preserve">     </w:t>
      </w:r>
      <w:r>
        <w:rPr>
          <w:rFonts w:ascii="宋体" w:hAnsi="宋体" w:eastAsia="宋体" w:cs="宋体"/>
          <w:color w:val="auto"/>
          <w:sz w:val="24"/>
          <w:szCs w:val="24"/>
          <w:highlight w:val="none"/>
          <w:u w:val="single"/>
        </w:rPr>
        <w:t>（中型企业、小型 企业、微型企业）</w:t>
      </w:r>
      <w:r>
        <w:rPr>
          <w:rFonts w:ascii="宋体" w:hAnsi="宋体" w:eastAsia="宋体" w:cs="宋体"/>
          <w:color w:val="auto"/>
          <w:sz w:val="24"/>
          <w:szCs w:val="24"/>
          <w:highlight w:val="none"/>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480" w:firstLineChars="200"/>
        <w:textAlignment w:val="auto"/>
        <w:rPr>
          <w:color w:val="auto"/>
          <w:sz w:val="24"/>
          <w:szCs w:val="24"/>
          <w:highlight w:val="none"/>
        </w:rPr>
      </w:pPr>
      <w:r>
        <w:rPr>
          <w:rFonts w:ascii="宋体" w:hAnsi="宋体" w:eastAsia="宋体" w:cs="宋体"/>
          <w:color w:val="auto"/>
          <w:sz w:val="24"/>
          <w:szCs w:val="24"/>
          <w:highlight w:val="none"/>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480" w:firstLineChars="200"/>
        <w:textAlignment w:val="auto"/>
        <w:rPr>
          <w:rFonts w:ascii="宋体" w:hAnsi="宋体" w:eastAsia="宋体" w:cs="宋体"/>
          <w:color w:val="auto"/>
          <w:sz w:val="24"/>
          <w:szCs w:val="24"/>
          <w:highlight w:val="none"/>
        </w:rPr>
      </w:pPr>
      <w:r>
        <w:rPr>
          <w:rFonts w:ascii="宋体" w:hAnsi="宋体" w:eastAsia="宋体" w:cs="宋体"/>
          <w:color w:val="auto"/>
          <w:sz w:val="24"/>
          <w:szCs w:val="24"/>
          <w:highlight w:val="none"/>
        </w:rPr>
        <w:t>以上企业，不属于大企业的分支机构，不存在控股股东为大企业的情形，也不存在与大企业的负责人为同一人的情形。</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480" w:firstLineChars="200"/>
        <w:textAlignment w:val="auto"/>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本企业对上述声明内容的真实性负责。如有虚假，将依法承担相应责任。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1920" w:firstLineChars="800"/>
        <w:textAlignment w:val="auto"/>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企业名称（盖章）：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1920" w:firstLineChars="800"/>
        <w:textAlignment w:val="auto"/>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日 期：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textAlignment w:val="auto"/>
        <w:rPr>
          <w:rFonts w:hint="eastAsia" w:ascii="宋体" w:hAnsi="宋体" w:eastAsia="宋体" w:cs="宋体"/>
          <w:color w:val="auto"/>
          <w:sz w:val="24"/>
          <w:szCs w:val="24"/>
          <w:highlight w:val="none"/>
          <w:lang w:eastAsia="zh-CN"/>
        </w:rPr>
      </w:pPr>
    </w:p>
    <w:p>
      <w:pPr>
        <w:spacing w:line="440" w:lineRule="exact"/>
        <w:jc w:val="center"/>
        <w:rPr>
          <w:rFonts w:ascii="宋体" w:hAnsi="宋体" w:cs="宋体"/>
          <w:b/>
          <w:bCs/>
          <w:color w:val="auto"/>
          <w:sz w:val="24"/>
          <w:highlight w:val="none"/>
          <w:lang w:val="zh-CN"/>
        </w:rPr>
      </w:pPr>
      <w:r>
        <w:rPr>
          <w:rFonts w:hint="eastAsia" w:ascii="宋体" w:hAnsi="宋体" w:eastAsia="宋体" w:cs="宋体"/>
          <w:color w:val="auto"/>
          <w:sz w:val="24"/>
          <w:szCs w:val="24"/>
          <w:highlight w:val="none"/>
          <w:lang w:eastAsia="zh-CN"/>
        </w:rPr>
        <w:t>注：</w:t>
      </w:r>
      <w:r>
        <w:rPr>
          <w:rFonts w:ascii="宋体" w:hAnsi="宋体" w:eastAsia="宋体" w:cs="宋体"/>
          <w:color w:val="auto"/>
          <w:sz w:val="24"/>
          <w:szCs w:val="24"/>
          <w:highlight w:val="none"/>
        </w:rPr>
        <w:t>从业人员、营业收入、资产总额填报上一年度数据，无上一年度数据的新成立企业可不填报。</w:t>
      </w:r>
    </w:p>
    <w:p>
      <w:pPr>
        <w:spacing w:line="440" w:lineRule="exact"/>
        <w:jc w:val="center"/>
        <w:rPr>
          <w:rFonts w:ascii="宋体" w:hAnsi="宋体" w:cs="宋体"/>
          <w:b/>
          <w:bCs/>
          <w:color w:val="auto"/>
          <w:sz w:val="24"/>
          <w:highlight w:val="none"/>
          <w:lang w:val="zh-CN"/>
        </w:rPr>
      </w:pPr>
    </w:p>
    <w:p>
      <w:pPr>
        <w:rPr>
          <w:b/>
          <w:bCs/>
          <w:color w:val="auto"/>
          <w:highlight w:val="none"/>
        </w:rPr>
      </w:pPr>
      <w:r>
        <w:rPr>
          <w:rFonts w:hint="eastAsia" w:ascii="宋体" w:hAnsi="宋体" w:cs="宋体"/>
          <w:b/>
          <w:bCs/>
          <w:color w:val="auto"/>
          <w:sz w:val="24"/>
          <w:highlight w:val="none"/>
        </w:rPr>
        <w:t>注：如投标人虚假承诺本声明函，中标的投标人采购人有权拒绝与其签署合同，并追究其法律责任，未中标投标人视为其虚假响应，并将此虚假响应情况报送主管部门处理。</w:t>
      </w:r>
    </w:p>
    <w:p>
      <w:pPr>
        <w:pStyle w:val="21"/>
        <w:ind w:firstLine="0" w:firstLineChars="0"/>
        <w:rPr>
          <w:rFonts w:ascii="宋体" w:hAnsi="宋体" w:eastAsia="宋体" w:cs="宋体"/>
          <w:b/>
          <w:bCs/>
          <w:color w:val="auto"/>
          <w:kern w:val="0"/>
          <w:sz w:val="24"/>
          <w:szCs w:val="24"/>
          <w:highlight w:val="none"/>
        </w:rPr>
      </w:pPr>
    </w:p>
    <w:p>
      <w:pPr>
        <w:rPr>
          <w:color w:val="auto"/>
          <w:highlight w:val="none"/>
        </w:rPr>
        <w:sectPr>
          <w:pgSz w:w="11906" w:h="16838"/>
          <w:pgMar w:top="1361" w:right="1304" w:bottom="1247" w:left="1304" w:header="680" w:footer="680" w:gutter="0"/>
          <w:cols w:space="720" w:num="1"/>
          <w:docGrid w:linePitch="312" w:charSpace="0"/>
        </w:sectPr>
      </w:pPr>
    </w:p>
    <w:p>
      <w:pPr>
        <w:spacing w:before="0" w:after="0" w:line="240" w:lineRule="auto"/>
        <w:ind w:left="0" w:right="-12" w:firstLine="0"/>
        <w:jc w:val="center"/>
        <w:outlineLvl w:val="0"/>
        <w:rPr>
          <w:rFonts w:ascii="宋体" w:hAnsi="宋体" w:eastAsia="宋体" w:cs="宋体"/>
          <w:b/>
          <w:color w:val="auto"/>
          <w:spacing w:val="0"/>
          <w:position w:val="0"/>
          <w:sz w:val="24"/>
          <w:highlight w:val="none"/>
          <w:shd w:val="clear" w:fill="auto"/>
        </w:rPr>
      </w:pPr>
      <w:bookmarkStart w:id="214" w:name="_Toc26817"/>
      <w:bookmarkStart w:id="215" w:name="_Toc16013"/>
      <w:r>
        <w:rPr>
          <w:rFonts w:hint="eastAsia" w:ascii="宋体" w:hAnsi="宋体" w:eastAsia="宋体" w:cs="宋体"/>
          <w:b/>
          <w:color w:val="auto"/>
          <w:spacing w:val="0"/>
          <w:position w:val="0"/>
          <w:sz w:val="24"/>
          <w:highlight w:val="none"/>
          <w:shd w:val="clear" w:fill="auto"/>
        </w:rPr>
        <w:t>残疾人福利性单位声明函</w:t>
      </w:r>
      <w:bookmarkEnd w:id="214"/>
      <w:bookmarkEnd w:id="215"/>
    </w:p>
    <w:p>
      <w:pPr>
        <w:autoSpaceDE w:val="0"/>
        <w:autoSpaceDN w:val="0"/>
        <w:adjustRightInd w:val="0"/>
        <w:spacing w:beforeLines="50" w:afterLines="50"/>
        <w:ind w:firstLine="480" w:firstLineChars="200"/>
        <w:jc w:val="center"/>
        <w:rPr>
          <w:rFonts w:ascii="宋体" w:hAnsi="宋体"/>
          <w:snapToGrid w:val="0"/>
          <w:color w:val="auto"/>
          <w:kern w:val="0"/>
          <w:sz w:val="24"/>
          <w:highlight w:val="none"/>
        </w:rPr>
      </w:pPr>
      <w:r>
        <w:rPr>
          <w:rFonts w:hint="eastAsia" w:ascii="宋体" w:hAnsi="宋体"/>
          <w:snapToGrid w:val="0"/>
          <w:color w:val="auto"/>
          <w:kern w:val="0"/>
          <w:sz w:val="24"/>
          <w:highlight w:val="none"/>
        </w:rPr>
        <w:t>（如果是，提供）</w:t>
      </w:r>
    </w:p>
    <w:p>
      <w:pPr>
        <w:autoSpaceDE w:val="0"/>
        <w:autoSpaceDN w:val="0"/>
        <w:adjustRightInd w:val="0"/>
        <w:spacing w:beforeLines="50" w:afterLines="50"/>
        <w:ind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货物），或者提供其他残疾人福利性单位制造的货物（不包括使用非残疾人福利性单位注册商标的货物）。</w:t>
      </w:r>
    </w:p>
    <w:p>
      <w:pPr>
        <w:autoSpaceDE w:val="0"/>
        <w:autoSpaceDN w:val="0"/>
        <w:adjustRightInd w:val="0"/>
        <w:spacing w:beforeLines="50" w:afterLines="50"/>
        <w:ind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本单位对上述声明的真实性负责。如有虚假，将依法承担相应责任。</w:t>
      </w:r>
    </w:p>
    <w:p>
      <w:pPr>
        <w:adjustRightInd w:val="0"/>
        <w:snapToGrid w:val="0"/>
        <w:ind w:firstLine="480" w:firstLineChars="200"/>
        <w:rPr>
          <w:rFonts w:ascii="宋体" w:hAnsi="宋体"/>
          <w:snapToGrid w:val="0"/>
          <w:color w:val="auto"/>
          <w:kern w:val="0"/>
          <w:sz w:val="24"/>
          <w:highlight w:val="none"/>
        </w:rPr>
      </w:pPr>
    </w:p>
    <w:p>
      <w:pPr>
        <w:adjustRightInd w:val="0"/>
        <w:snapToGrid w:val="0"/>
        <w:ind w:firstLine="480" w:firstLineChars="200"/>
        <w:rPr>
          <w:rFonts w:ascii="宋体" w:hAnsi="宋体"/>
          <w:snapToGrid w:val="0"/>
          <w:color w:val="auto"/>
          <w:kern w:val="0"/>
          <w:sz w:val="24"/>
          <w:highlight w:val="none"/>
        </w:rPr>
      </w:pPr>
    </w:p>
    <w:p>
      <w:pPr>
        <w:adjustRightInd w:val="0"/>
        <w:snapToGrid w:val="0"/>
        <w:ind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 xml:space="preserve">                                         </w:t>
      </w:r>
    </w:p>
    <w:p>
      <w:pPr>
        <w:adjustRightInd w:val="0"/>
        <w:snapToGrid w:val="0"/>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                                </w:t>
      </w:r>
    </w:p>
    <w:p>
      <w:pPr>
        <w:adjustRightInd w:val="0"/>
        <w:snapToGrid w:val="0"/>
        <w:ind w:firstLine="480" w:firstLineChars="200"/>
        <w:rPr>
          <w:rFonts w:ascii="宋体"/>
          <w:color w:val="auto"/>
          <w:sz w:val="24"/>
          <w:highlight w:val="none"/>
          <w:u w:val="single"/>
        </w:rPr>
      </w:pPr>
      <w:r>
        <w:rPr>
          <w:rFonts w:hint="eastAsia" w:ascii="宋体"/>
          <w:color w:val="auto"/>
          <w:sz w:val="24"/>
          <w:highlight w:val="none"/>
        </w:rPr>
        <w:t>投标人名称（</w:t>
      </w:r>
      <w:r>
        <w:rPr>
          <w:rFonts w:hint="eastAsia" w:ascii="宋体"/>
          <w:color w:val="auto"/>
          <w:sz w:val="24"/>
          <w:highlight w:val="none"/>
          <w:lang w:eastAsia="zh-CN"/>
        </w:rPr>
        <w:t>盖</w:t>
      </w:r>
      <w:r>
        <w:rPr>
          <w:rFonts w:hint="eastAsia" w:ascii="宋体"/>
          <w:color w:val="auto"/>
          <w:sz w:val="24"/>
          <w:highlight w:val="none"/>
        </w:rPr>
        <w:t>章）：</w:t>
      </w:r>
      <w:r>
        <w:rPr>
          <w:rFonts w:hint="eastAsia" w:ascii="宋体"/>
          <w:color w:val="auto"/>
          <w:sz w:val="24"/>
          <w:highlight w:val="none"/>
          <w:u w:val="single"/>
        </w:rPr>
        <w:t xml:space="preserve">                                    </w:t>
      </w:r>
    </w:p>
    <w:p>
      <w:pPr>
        <w:adjustRightInd w:val="0"/>
        <w:snapToGrid w:val="0"/>
        <w:ind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lang w:eastAsia="zh-CN"/>
        </w:rPr>
        <w:t>单位负责人</w:t>
      </w:r>
      <w:r>
        <w:rPr>
          <w:rFonts w:hint="eastAsia" w:ascii="宋体" w:hAnsi="宋体"/>
          <w:snapToGrid w:val="0"/>
          <w:color w:val="auto"/>
          <w:kern w:val="0"/>
          <w:sz w:val="24"/>
          <w:highlight w:val="none"/>
        </w:rPr>
        <w:t>（单位负责人）</w:t>
      </w:r>
    </w:p>
    <w:p>
      <w:pPr>
        <w:adjustRightInd w:val="0"/>
        <w:snapToGrid w:val="0"/>
        <w:ind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或授权代表（签</w:t>
      </w:r>
      <w:r>
        <w:rPr>
          <w:rFonts w:hint="eastAsia" w:ascii="宋体" w:hAnsi="宋体"/>
          <w:snapToGrid w:val="0"/>
          <w:color w:val="auto"/>
          <w:kern w:val="0"/>
          <w:sz w:val="24"/>
          <w:highlight w:val="none"/>
          <w:lang w:eastAsia="zh-CN"/>
        </w:rPr>
        <w:t>字</w:t>
      </w:r>
      <w:r>
        <w:rPr>
          <w:rFonts w:hint="eastAsia" w:ascii="宋体" w:hAnsi="宋体"/>
          <w:snapToGrid w:val="0"/>
          <w:color w:val="auto"/>
          <w:kern w:val="0"/>
          <w:sz w:val="24"/>
          <w:highlight w:val="none"/>
        </w:rPr>
        <w:t>）</w:t>
      </w:r>
      <w:r>
        <w:rPr>
          <w:rFonts w:hint="eastAsia" w:ascii="宋体"/>
          <w:color w:val="auto"/>
          <w:sz w:val="24"/>
          <w:highlight w:val="none"/>
        </w:rPr>
        <w:t>：</w:t>
      </w:r>
      <w:r>
        <w:rPr>
          <w:rFonts w:hint="eastAsia" w:ascii="宋体"/>
          <w:color w:val="auto"/>
          <w:sz w:val="24"/>
          <w:highlight w:val="none"/>
          <w:u w:val="single"/>
        </w:rPr>
        <w:t xml:space="preserve">                                </w:t>
      </w:r>
    </w:p>
    <w:p>
      <w:pPr>
        <w:tabs>
          <w:tab w:val="left" w:pos="1573"/>
        </w:tabs>
        <w:rPr>
          <w:rFonts w:ascii="宋体" w:hAnsi="宋体"/>
          <w:color w:val="auto"/>
          <w:sz w:val="24"/>
          <w:highlight w:val="none"/>
        </w:rPr>
      </w:pPr>
    </w:p>
    <w:p>
      <w:pPr>
        <w:pStyle w:val="10"/>
        <w:adjustRightInd w:val="0"/>
        <w:snapToGrid w:val="0"/>
        <w:ind w:firstLine="0"/>
        <w:rPr>
          <w:rFonts w:ascii="宋体" w:hAnsi="宋体" w:eastAsia="宋体"/>
          <w:snapToGrid w:val="0"/>
          <w:color w:val="auto"/>
          <w:kern w:val="0"/>
          <w:sz w:val="24"/>
          <w:szCs w:val="24"/>
          <w:highlight w:val="none"/>
        </w:rPr>
      </w:pPr>
      <w:r>
        <w:rPr>
          <w:rFonts w:hint="eastAsia" w:ascii="宋体" w:hAnsi="宋体" w:eastAsia="宋体"/>
          <w:snapToGrid w:val="0"/>
          <w:color w:val="auto"/>
          <w:kern w:val="0"/>
          <w:sz w:val="24"/>
          <w:szCs w:val="24"/>
          <w:highlight w:val="none"/>
        </w:rPr>
        <w:t xml:space="preserve">                    </w:t>
      </w:r>
    </w:p>
    <w:p>
      <w:pPr>
        <w:pStyle w:val="10"/>
        <w:adjustRightInd w:val="0"/>
        <w:snapToGrid w:val="0"/>
        <w:ind w:firstLine="480" w:firstLineChars="200"/>
        <w:rPr>
          <w:rFonts w:ascii="宋体" w:hAnsi="宋体" w:eastAsia="宋体"/>
          <w:snapToGrid w:val="0"/>
          <w:color w:val="auto"/>
          <w:kern w:val="0"/>
          <w:sz w:val="24"/>
          <w:szCs w:val="24"/>
          <w:highlight w:val="none"/>
        </w:rPr>
      </w:pPr>
      <w:r>
        <w:rPr>
          <w:rFonts w:hint="eastAsia" w:ascii="宋体" w:hAnsi="宋体" w:eastAsia="宋体"/>
          <w:bCs/>
          <w:snapToGrid w:val="0"/>
          <w:color w:val="auto"/>
          <w:kern w:val="0"/>
          <w:sz w:val="24"/>
          <w:szCs w:val="24"/>
          <w:highlight w:val="none"/>
        </w:rPr>
        <w:t>日期:</w:t>
      </w:r>
      <w:r>
        <w:rPr>
          <w:rFonts w:hint="eastAsia" w:ascii="宋体" w:hAnsi="宋体" w:eastAsia="宋体"/>
          <w:snapToGrid w:val="0"/>
          <w:color w:val="auto"/>
          <w:kern w:val="0"/>
          <w:sz w:val="24"/>
          <w:szCs w:val="24"/>
          <w:highlight w:val="none"/>
          <w:u w:val="single"/>
        </w:rPr>
        <w:t xml:space="preserve">     </w:t>
      </w:r>
      <w:r>
        <w:rPr>
          <w:rFonts w:hint="eastAsia" w:ascii="宋体" w:hAnsi="宋体" w:eastAsia="宋体"/>
          <w:snapToGrid w:val="0"/>
          <w:color w:val="auto"/>
          <w:kern w:val="0"/>
          <w:sz w:val="24"/>
          <w:szCs w:val="24"/>
          <w:highlight w:val="none"/>
        </w:rPr>
        <w:t>年</w:t>
      </w:r>
      <w:r>
        <w:rPr>
          <w:rFonts w:hint="eastAsia" w:ascii="宋体" w:hAnsi="宋体" w:eastAsia="宋体"/>
          <w:snapToGrid w:val="0"/>
          <w:color w:val="auto"/>
          <w:kern w:val="0"/>
          <w:sz w:val="24"/>
          <w:szCs w:val="24"/>
          <w:highlight w:val="none"/>
          <w:u w:val="single"/>
        </w:rPr>
        <w:t xml:space="preserve">   </w:t>
      </w:r>
      <w:r>
        <w:rPr>
          <w:rFonts w:hint="eastAsia" w:ascii="宋体" w:hAnsi="宋体" w:eastAsia="宋体"/>
          <w:snapToGrid w:val="0"/>
          <w:color w:val="auto"/>
          <w:kern w:val="0"/>
          <w:sz w:val="24"/>
          <w:szCs w:val="24"/>
          <w:highlight w:val="none"/>
        </w:rPr>
        <w:t>月</w:t>
      </w:r>
      <w:r>
        <w:rPr>
          <w:rFonts w:hint="eastAsia" w:ascii="宋体" w:hAnsi="宋体" w:eastAsia="宋体"/>
          <w:snapToGrid w:val="0"/>
          <w:color w:val="auto"/>
          <w:kern w:val="0"/>
          <w:sz w:val="24"/>
          <w:szCs w:val="24"/>
          <w:highlight w:val="none"/>
          <w:u w:val="single"/>
        </w:rPr>
        <w:t xml:space="preserve">   </w:t>
      </w:r>
      <w:r>
        <w:rPr>
          <w:rFonts w:hint="eastAsia" w:ascii="宋体" w:hAnsi="宋体" w:eastAsia="宋体"/>
          <w:snapToGrid w:val="0"/>
          <w:color w:val="auto"/>
          <w:kern w:val="0"/>
          <w:sz w:val="24"/>
          <w:szCs w:val="24"/>
          <w:highlight w:val="none"/>
        </w:rPr>
        <w:t>日</w:t>
      </w:r>
    </w:p>
    <w:p>
      <w:pPr>
        <w:adjustRightInd w:val="0"/>
        <w:snapToGrid w:val="0"/>
        <w:ind w:firstLine="480" w:firstLineChars="200"/>
        <w:rPr>
          <w:rFonts w:ascii="宋体" w:hAnsi="宋体"/>
          <w:snapToGrid w:val="0"/>
          <w:color w:val="auto"/>
          <w:kern w:val="0"/>
          <w:sz w:val="24"/>
          <w:highlight w:val="none"/>
        </w:rPr>
      </w:pPr>
    </w:p>
    <w:p>
      <w:pPr>
        <w:rPr>
          <w:color w:val="auto"/>
          <w:highlight w:val="none"/>
        </w:rPr>
      </w:pPr>
    </w:p>
    <w:p>
      <w:pPr>
        <w:rPr>
          <w:color w:val="auto"/>
          <w:highlight w:val="none"/>
        </w:rPr>
      </w:pPr>
    </w:p>
    <w:p>
      <w:pPr>
        <w:rPr>
          <w:b/>
          <w:bCs/>
          <w:color w:val="auto"/>
          <w:sz w:val="30"/>
          <w:szCs w:val="30"/>
          <w:highlight w:val="none"/>
        </w:rPr>
      </w:pPr>
    </w:p>
    <w:p>
      <w:pPr>
        <w:rPr>
          <w:b/>
          <w:bCs/>
          <w:color w:val="auto"/>
          <w:sz w:val="30"/>
          <w:szCs w:val="30"/>
          <w:highlight w:val="none"/>
        </w:rPr>
      </w:pPr>
    </w:p>
    <w:p>
      <w:pPr>
        <w:rPr>
          <w:rFonts w:ascii="黑体" w:hAnsi="黑体" w:eastAsia="黑体"/>
          <w:color w:val="auto"/>
          <w:kern w:val="0"/>
          <w:sz w:val="30"/>
          <w:szCs w:val="30"/>
          <w:highlight w:val="none"/>
        </w:rPr>
      </w:pPr>
      <w:r>
        <w:rPr>
          <w:rFonts w:hint="eastAsia" w:ascii="黑体" w:hAnsi="黑体" w:eastAsia="黑体"/>
          <w:color w:val="auto"/>
          <w:kern w:val="0"/>
          <w:sz w:val="30"/>
          <w:szCs w:val="30"/>
          <w:highlight w:val="none"/>
        </w:rPr>
        <w:br w:type="page"/>
      </w:r>
    </w:p>
    <w:p>
      <w:pPr>
        <w:spacing w:before="0" w:after="0" w:line="240" w:lineRule="auto"/>
        <w:ind w:left="0" w:right="-12"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省级以上监狱管理局、戒毒管理局（含新疆生产建设兵团）出具的属于监狱企业的证明文件</w:t>
      </w:r>
    </w:p>
    <w:p>
      <w:pPr>
        <w:autoSpaceDE w:val="0"/>
        <w:autoSpaceDN w:val="0"/>
        <w:adjustRightInd w:val="0"/>
        <w:spacing w:beforeLines="50" w:afterLines="50"/>
        <w:jc w:val="center"/>
        <w:rPr>
          <w:rStyle w:val="25"/>
          <w:b w:val="0"/>
          <w:bCs w:val="0"/>
          <w:color w:val="auto"/>
          <w:sz w:val="36"/>
          <w:szCs w:val="36"/>
          <w:highlight w:val="none"/>
        </w:rPr>
      </w:pPr>
      <w:r>
        <w:rPr>
          <w:rFonts w:hint="eastAsia" w:ascii="宋体" w:hAnsi="宋体"/>
          <w:color w:val="auto"/>
          <w:kern w:val="0"/>
          <w:sz w:val="24"/>
          <w:highlight w:val="none"/>
        </w:rPr>
        <w:t>（如果是，提供）</w:t>
      </w:r>
    </w:p>
    <w:p>
      <w:pPr>
        <w:autoSpaceDE w:val="0"/>
        <w:autoSpaceDN w:val="0"/>
        <w:adjustRightInd w:val="0"/>
        <w:spacing w:beforeLines="50" w:afterLines="50"/>
        <w:jc w:val="center"/>
        <w:rPr>
          <w:rStyle w:val="25"/>
          <w:b w:val="0"/>
          <w:bCs w:val="0"/>
          <w:color w:val="auto"/>
          <w:sz w:val="36"/>
          <w:szCs w:val="36"/>
          <w:highlight w:val="none"/>
        </w:rPr>
      </w:pPr>
    </w:p>
    <w:p>
      <w:pPr>
        <w:rPr>
          <w:rFonts w:hint="eastAsia" w:ascii="黑体" w:hAnsi="黑体" w:eastAsia="黑体"/>
          <w:color w:val="auto"/>
          <w:kern w:val="0"/>
          <w:sz w:val="30"/>
          <w:szCs w:val="30"/>
          <w:highlight w:val="none"/>
        </w:rPr>
        <w:sectPr>
          <w:pgSz w:w="11906" w:h="16838"/>
          <w:pgMar w:top="1361" w:right="1304" w:bottom="1247" w:left="1304" w:header="680" w:footer="680" w:gutter="0"/>
          <w:cols w:space="720" w:num="1"/>
          <w:docGrid w:linePitch="312" w:charSpace="0"/>
        </w:sectPr>
      </w:pPr>
    </w:p>
    <w:p>
      <w:pPr>
        <w:ind w:left="-48" w:leftChars="-23" w:right="-65" w:rightChars="-31"/>
        <w:jc w:val="center"/>
        <w:rPr>
          <w:rFonts w:ascii="宋体" w:hAnsi="宋体"/>
          <w:b/>
          <w:color w:val="auto"/>
          <w:sz w:val="30"/>
          <w:szCs w:val="30"/>
          <w:highlight w:val="none"/>
        </w:rPr>
      </w:pPr>
      <w:r>
        <w:rPr>
          <w:rFonts w:hint="eastAsia" w:ascii="宋体" w:hAnsi="宋体"/>
          <w:b/>
          <w:color w:val="auto"/>
          <w:sz w:val="30"/>
          <w:szCs w:val="30"/>
          <w:highlight w:val="none"/>
        </w:rPr>
        <w:t>中小企业划型标准</w:t>
      </w:r>
    </w:p>
    <w:tbl>
      <w:tblPr>
        <w:tblStyle w:val="22"/>
        <w:tblW w:w="0" w:type="auto"/>
        <w:jc w:val="center"/>
        <w:tblLayout w:type="fixed"/>
        <w:tblCellMar>
          <w:top w:w="0" w:type="dxa"/>
          <w:left w:w="108" w:type="dxa"/>
          <w:bottom w:w="0" w:type="dxa"/>
          <w:right w:w="108" w:type="dxa"/>
        </w:tblCellMar>
      </w:tblPr>
      <w:tblGrid>
        <w:gridCol w:w="468"/>
        <w:gridCol w:w="1872"/>
        <w:gridCol w:w="1149"/>
        <w:gridCol w:w="885"/>
        <w:gridCol w:w="902"/>
        <w:gridCol w:w="1063"/>
        <w:gridCol w:w="905"/>
        <w:gridCol w:w="957"/>
        <w:gridCol w:w="1063"/>
        <w:gridCol w:w="921"/>
        <w:gridCol w:w="963"/>
        <w:gridCol w:w="1063"/>
        <w:gridCol w:w="846"/>
        <w:gridCol w:w="816"/>
      </w:tblGrid>
      <w:tr>
        <w:tblPrEx>
          <w:tblCellMar>
            <w:top w:w="0" w:type="dxa"/>
            <w:left w:w="108" w:type="dxa"/>
            <w:bottom w:w="0" w:type="dxa"/>
            <w:right w:w="108" w:type="dxa"/>
          </w:tblCellMar>
        </w:tblPrEx>
        <w:trPr>
          <w:trHeight w:val="500" w:hRule="atLeast"/>
          <w:tblHeader/>
          <w:jc w:val="center"/>
        </w:trPr>
        <w:tc>
          <w:tcPr>
            <w:tcW w:w="468" w:type="dxa"/>
            <w:vMerge w:val="restart"/>
            <w:tcBorders>
              <w:top w:val="single" w:color="auto" w:sz="4" w:space="0"/>
              <w:left w:val="single" w:color="auto" w:sz="4" w:space="0"/>
              <w:right w:val="single" w:color="auto" w:sz="4" w:space="0"/>
            </w:tcBorders>
            <w:vAlign w:val="center"/>
          </w:tcPr>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序号</w:t>
            </w:r>
          </w:p>
        </w:tc>
        <w:tc>
          <w:tcPr>
            <w:tcW w:w="1872" w:type="dxa"/>
            <w:vMerge w:val="restart"/>
            <w:tcBorders>
              <w:top w:val="single" w:color="auto" w:sz="4" w:space="0"/>
              <w:left w:val="nil"/>
              <w:right w:val="single" w:color="auto" w:sz="4" w:space="0"/>
            </w:tcBorders>
            <w:vAlign w:val="center"/>
          </w:tcPr>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行业</w:t>
            </w:r>
          </w:p>
        </w:tc>
        <w:tc>
          <w:tcPr>
            <w:tcW w:w="2936"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大型企业</w:t>
            </w:r>
          </w:p>
        </w:tc>
        <w:tc>
          <w:tcPr>
            <w:tcW w:w="2925"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中型企业</w:t>
            </w:r>
          </w:p>
        </w:tc>
        <w:tc>
          <w:tcPr>
            <w:tcW w:w="2947"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小型企业</w:t>
            </w:r>
          </w:p>
        </w:tc>
        <w:tc>
          <w:tcPr>
            <w:tcW w:w="2725"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微型企业</w:t>
            </w:r>
          </w:p>
        </w:tc>
      </w:tr>
      <w:tr>
        <w:tblPrEx>
          <w:tblCellMar>
            <w:top w:w="0" w:type="dxa"/>
            <w:left w:w="108" w:type="dxa"/>
            <w:bottom w:w="0" w:type="dxa"/>
            <w:right w:w="108" w:type="dxa"/>
          </w:tblCellMar>
        </w:tblPrEx>
        <w:trPr>
          <w:trHeight w:val="226" w:hRule="atLeast"/>
          <w:tblHeader/>
          <w:jc w:val="center"/>
        </w:trPr>
        <w:tc>
          <w:tcPr>
            <w:tcW w:w="468" w:type="dxa"/>
            <w:vMerge w:val="continue"/>
            <w:tcBorders>
              <w:left w:val="single" w:color="auto" w:sz="4" w:space="0"/>
              <w:bottom w:val="single" w:color="auto" w:sz="4" w:space="0"/>
              <w:right w:val="single" w:color="auto" w:sz="4" w:space="0"/>
            </w:tcBorders>
            <w:vAlign w:val="center"/>
          </w:tcPr>
          <w:p>
            <w:pPr>
              <w:ind w:left="-48" w:leftChars="-23" w:right="-65" w:rightChars="-31"/>
              <w:jc w:val="center"/>
              <w:rPr>
                <w:rFonts w:ascii="宋体" w:hAnsi="宋体" w:cs="宋体"/>
                <w:b/>
                <w:color w:val="auto"/>
                <w:kern w:val="0"/>
                <w:szCs w:val="21"/>
                <w:highlight w:val="none"/>
              </w:rPr>
            </w:pPr>
          </w:p>
        </w:tc>
        <w:tc>
          <w:tcPr>
            <w:tcW w:w="1872" w:type="dxa"/>
            <w:vMerge w:val="continue"/>
            <w:tcBorders>
              <w:left w:val="nil"/>
              <w:bottom w:val="single" w:color="auto" w:sz="4" w:space="0"/>
              <w:right w:val="single" w:color="auto" w:sz="4" w:space="0"/>
            </w:tcBorders>
            <w:vAlign w:val="center"/>
          </w:tcPr>
          <w:p>
            <w:pPr>
              <w:ind w:left="-48" w:leftChars="-23" w:right="-65" w:rightChars="-31"/>
              <w:jc w:val="left"/>
              <w:rPr>
                <w:rFonts w:ascii="宋体" w:hAnsi="宋体" w:cs="宋体"/>
                <w:b/>
                <w:color w:val="auto"/>
                <w:kern w:val="0"/>
                <w:szCs w:val="21"/>
                <w:highlight w:val="none"/>
              </w:rPr>
            </w:pPr>
          </w:p>
        </w:tc>
        <w:tc>
          <w:tcPr>
            <w:tcW w:w="1149" w:type="dxa"/>
            <w:tcBorders>
              <w:top w:val="nil"/>
              <w:left w:val="nil"/>
              <w:bottom w:val="single" w:color="auto" w:sz="4" w:space="0"/>
              <w:right w:val="single" w:color="auto" w:sz="4" w:space="0"/>
            </w:tcBorders>
            <w:vAlign w:val="center"/>
          </w:tcPr>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营业收入</w:t>
            </w:r>
          </w:p>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(万元)</w:t>
            </w:r>
          </w:p>
        </w:tc>
        <w:tc>
          <w:tcPr>
            <w:tcW w:w="885" w:type="dxa"/>
            <w:tcBorders>
              <w:top w:val="nil"/>
              <w:left w:val="nil"/>
              <w:bottom w:val="single" w:color="auto" w:sz="4" w:space="0"/>
              <w:right w:val="single" w:color="auto" w:sz="4" w:space="0"/>
            </w:tcBorders>
            <w:vAlign w:val="center"/>
          </w:tcPr>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从业人员</w:t>
            </w:r>
          </w:p>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(人)</w:t>
            </w:r>
          </w:p>
        </w:tc>
        <w:tc>
          <w:tcPr>
            <w:tcW w:w="902" w:type="dxa"/>
            <w:tcBorders>
              <w:top w:val="nil"/>
              <w:left w:val="nil"/>
              <w:bottom w:val="single" w:color="auto" w:sz="4" w:space="0"/>
              <w:right w:val="single" w:color="auto" w:sz="4" w:space="0"/>
            </w:tcBorders>
            <w:vAlign w:val="center"/>
          </w:tcPr>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总资产</w:t>
            </w:r>
          </w:p>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(万元)</w:t>
            </w:r>
          </w:p>
        </w:tc>
        <w:tc>
          <w:tcPr>
            <w:tcW w:w="1063" w:type="dxa"/>
            <w:tcBorders>
              <w:top w:val="nil"/>
              <w:left w:val="nil"/>
              <w:bottom w:val="single" w:color="auto" w:sz="4" w:space="0"/>
              <w:right w:val="single" w:color="auto" w:sz="4" w:space="0"/>
            </w:tcBorders>
            <w:vAlign w:val="center"/>
          </w:tcPr>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营业收入</w:t>
            </w:r>
          </w:p>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(万元)</w:t>
            </w:r>
          </w:p>
        </w:tc>
        <w:tc>
          <w:tcPr>
            <w:tcW w:w="905" w:type="dxa"/>
            <w:tcBorders>
              <w:top w:val="nil"/>
              <w:left w:val="nil"/>
              <w:bottom w:val="single" w:color="auto" w:sz="4" w:space="0"/>
              <w:right w:val="single" w:color="auto" w:sz="4" w:space="0"/>
            </w:tcBorders>
            <w:vAlign w:val="center"/>
          </w:tcPr>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从业人员</w:t>
            </w:r>
          </w:p>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(人)</w:t>
            </w:r>
          </w:p>
        </w:tc>
        <w:tc>
          <w:tcPr>
            <w:tcW w:w="957" w:type="dxa"/>
            <w:tcBorders>
              <w:top w:val="nil"/>
              <w:left w:val="nil"/>
              <w:bottom w:val="single" w:color="auto" w:sz="4" w:space="0"/>
              <w:right w:val="single" w:color="auto" w:sz="4" w:space="0"/>
            </w:tcBorders>
            <w:vAlign w:val="center"/>
          </w:tcPr>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总资产</w:t>
            </w:r>
          </w:p>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(万元)</w:t>
            </w:r>
          </w:p>
        </w:tc>
        <w:tc>
          <w:tcPr>
            <w:tcW w:w="1063" w:type="dxa"/>
            <w:tcBorders>
              <w:top w:val="nil"/>
              <w:left w:val="nil"/>
              <w:bottom w:val="single" w:color="auto" w:sz="4" w:space="0"/>
              <w:right w:val="single" w:color="auto" w:sz="4" w:space="0"/>
            </w:tcBorders>
            <w:vAlign w:val="center"/>
          </w:tcPr>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营业收入</w:t>
            </w:r>
          </w:p>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(万元)</w:t>
            </w:r>
          </w:p>
        </w:tc>
        <w:tc>
          <w:tcPr>
            <w:tcW w:w="921" w:type="dxa"/>
            <w:tcBorders>
              <w:top w:val="nil"/>
              <w:left w:val="nil"/>
              <w:bottom w:val="single" w:color="auto" w:sz="4" w:space="0"/>
              <w:right w:val="single" w:color="auto" w:sz="4" w:space="0"/>
            </w:tcBorders>
            <w:vAlign w:val="center"/>
          </w:tcPr>
          <w:p>
            <w:pPr>
              <w:ind w:left="119" w:leftChars="-23" w:right="-65" w:rightChars="-31" w:hanging="167" w:hangingChars="79"/>
              <w:jc w:val="center"/>
              <w:rPr>
                <w:rFonts w:ascii="宋体" w:hAnsi="宋体" w:cs="宋体"/>
                <w:b/>
                <w:color w:val="auto"/>
                <w:kern w:val="0"/>
                <w:szCs w:val="21"/>
                <w:highlight w:val="none"/>
              </w:rPr>
            </w:pPr>
            <w:r>
              <w:rPr>
                <w:rFonts w:hint="eastAsia" w:ascii="宋体" w:hAnsi="宋体" w:cs="宋体"/>
                <w:b/>
                <w:color w:val="auto"/>
                <w:kern w:val="0"/>
                <w:szCs w:val="21"/>
                <w:highlight w:val="none"/>
              </w:rPr>
              <w:t>从业人员</w:t>
            </w:r>
          </w:p>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(人)</w:t>
            </w:r>
          </w:p>
        </w:tc>
        <w:tc>
          <w:tcPr>
            <w:tcW w:w="963" w:type="dxa"/>
            <w:tcBorders>
              <w:top w:val="nil"/>
              <w:left w:val="nil"/>
              <w:bottom w:val="single" w:color="auto" w:sz="4" w:space="0"/>
              <w:right w:val="single" w:color="auto" w:sz="4" w:space="0"/>
            </w:tcBorders>
            <w:vAlign w:val="center"/>
          </w:tcPr>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总资产</w:t>
            </w:r>
          </w:p>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(万元)</w:t>
            </w:r>
          </w:p>
        </w:tc>
        <w:tc>
          <w:tcPr>
            <w:tcW w:w="1063" w:type="dxa"/>
            <w:tcBorders>
              <w:top w:val="nil"/>
              <w:left w:val="nil"/>
              <w:bottom w:val="single" w:color="auto" w:sz="4" w:space="0"/>
              <w:right w:val="single" w:color="auto" w:sz="4" w:space="0"/>
            </w:tcBorders>
            <w:vAlign w:val="center"/>
          </w:tcPr>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营业收入</w:t>
            </w:r>
          </w:p>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(万元)</w:t>
            </w:r>
          </w:p>
        </w:tc>
        <w:tc>
          <w:tcPr>
            <w:tcW w:w="846" w:type="dxa"/>
            <w:tcBorders>
              <w:top w:val="nil"/>
              <w:left w:val="nil"/>
              <w:bottom w:val="single" w:color="auto" w:sz="4" w:space="0"/>
              <w:right w:val="single" w:color="auto" w:sz="4" w:space="0"/>
            </w:tcBorders>
            <w:vAlign w:val="center"/>
          </w:tcPr>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从业人员</w:t>
            </w:r>
          </w:p>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(人)</w:t>
            </w:r>
          </w:p>
        </w:tc>
        <w:tc>
          <w:tcPr>
            <w:tcW w:w="816" w:type="dxa"/>
            <w:tcBorders>
              <w:top w:val="nil"/>
              <w:left w:val="nil"/>
              <w:bottom w:val="single" w:color="auto" w:sz="4" w:space="0"/>
              <w:right w:val="single" w:color="auto" w:sz="4" w:space="0"/>
            </w:tcBorders>
            <w:vAlign w:val="center"/>
          </w:tcPr>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总资产</w:t>
            </w:r>
          </w:p>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(万元)</w:t>
            </w:r>
          </w:p>
        </w:tc>
      </w:tr>
      <w:tr>
        <w:tblPrEx>
          <w:tblCellMar>
            <w:top w:w="0" w:type="dxa"/>
            <w:left w:w="108" w:type="dxa"/>
            <w:bottom w:w="0" w:type="dxa"/>
            <w:right w:w="108" w:type="dxa"/>
          </w:tblCellMar>
        </w:tblPrEx>
        <w:trPr>
          <w:trHeight w:val="369" w:hRule="atLeast"/>
          <w:jc w:val="center"/>
        </w:trPr>
        <w:tc>
          <w:tcPr>
            <w:tcW w:w="468" w:type="dxa"/>
            <w:tcBorders>
              <w:top w:val="single" w:color="auto" w:sz="4" w:space="0"/>
              <w:left w:val="single" w:color="auto" w:sz="4" w:space="0"/>
              <w:bottom w:val="single" w:color="auto" w:sz="4" w:space="0"/>
              <w:right w:val="single" w:color="auto" w:sz="4" w:space="0"/>
            </w:tcBorders>
            <w:vAlign w:val="center"/>
          </w:tcPr>
          <w:p>
            <w:pPr>
              <w:ind w:left="-107" w:leftChars="-51" w:right="-107" w:rightChars="-51"/>
              <w:jc w:val="center"/>
              <w:rPr>
                <w:rFonts w:ascii="宋体" w:hAnsi="宋体" w:cs="宋体"/>
                <w:b/>
                <w:color w:val="auto"/>
                <w:kern w:val="0"/>
                <w:szCs w:val="21"/>
                <w:highlight w:val="none"/>
              </w:rPr>
            </w:pPr>
            <w:r>
              <w:rPr>
                <w:rFonts w:hint="eastAsia" w:ascii="宋体" w:hAnsi="宋体" w:cs="宋体"/>
                <w:b/>
                <w:color w:val="auto"/>
                <w:kern w:val="0"/>
                <w:szCs w:val="21"/>
                <w:highlight w:val="none"/>
              </w:rPr>
              <w:t>1</w:t>
            </w:r>
          </w:p>
        </w:tc>
        <w:tc>
          <w:tcPr>
            <w:tcW w:w="1872" w:type="dxa"/>
            <w:tcBorders>
              <w:top w:val="single" w:color="auto" w:sz="4" w:space="0"/>
              <w:left w:val="nil"/>
              <w:bottom w:val="single" w:color="auto" w:sz="4" w:space="0"/>
              <w:right w:val="single" w:color="auto" w:sz="4" w:space="0"/>
            </w:tcBorders>
            <w:vAlign w:val="center"/>
          </w:tcPr>
          <w:p>
            <w:pPr>
              <w:ind w:left="-27" w:leftChars="-13" w:right="-65" w:rightChars="-31"/>
              <w:jc w:val="left"/>
              <w:rPr>
                <w:rFonts w:ascii="宋体" w:hAnsi="宋体" w:cs="宋体"/>
                <w:b/>
                <w:color w:val="auto"/>
                <w:kern w:val="0"/>
                <w:szCs w:val="21"/>
                <w:highlight w:val="none"/>
              </w:rPr>
            </w:pPr>
            <w:r>
              <w:rPr>
                <w:rFonts w:hint="eastAsia" w:ascii="宋体" w:hAnsi="宋体" w:cs="宋体"/>
                <w:b/>
                <w:color w:val="auto"/>
                <w:kern w:val="0"/>
                <w:szCs w:val="21"/>
                <w:highlight w:val="none"/>
              </w:rPr>
              <w:t>农、林、牧、渔业</w:t>
            </w:r>
          </w:p>
        </w:tc>
        <w:tc>
          <w:tcPr>
            <w:tcW w:w="1149" w:type="dxa"/>
            <w:tcBorders>
              <w:top w:val="single" w:color="auto" w:sz="4" w:space="0"/>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≥20000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≥500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95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≥50</w:t>
            </w:r>
          </w:p>
        </w:tc>
        <w:tc>
          <w:tcPr>
            <w:tcW w:w="92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9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＜50</w:t>
            </w:r>
          </w:p>
        </w:tc>
        <w:tc>
          <w:tcPr>
            <w:tcW w:w="84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81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ascii="宋体" w:hAnsi="宋体" w:cs="宋体"/>
                <w:b/>
                <w:color w:val="auto"/>
                <w:kern w:val="0"/>
                <w:szCs w:val="21"/>
                <w:highlight w:val="none"/>
              </w:rPr>
            </w:pPr>
            <w:r>
              <w:rPr>
                <w:rFonts w:hint="eastAsia" w:ascii="宋体" w:hAnsi="宋体" w:cs="宋体"/>
                <w:b/>
                <w:color w:val="auto"/>
                <w:kern w:val="0"/>
                <w:szCs w:val="21"/>
                <w:highlight w:val="none"/>
              </w:rPr>
              <w:t>2</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ascii="宋体" w:hAnsi="宋体" w:cs="宋体"/>
                <w:b/>
                <w:color w:val="auto"/>
                <w:kern w:val="0"/>
                <w:szCs w:val="21"/>
                <w:highlight w:val="none"/>
              </w:rPr>
            </w:pPr>
            <w:r>
              <w:rPr>
                <w:rFonts w:hint="eastAsia" w:ascii="宋体" w:hAnsi="宋体" w:cs="宋体"/>
                <w:b/>
                <w:color w:val="auto"/>
                <w:kern w:val="0"/>
                <w:szCs w:val="21"/>
                <w:highlight w:val="none"/>
              </w:rPr>
              <w:t>工业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≥40000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≥300</w:t>
            </w:r>
          </w:p>
        </w:tc>
        <w:tc>
          <w:tcPr>
            <w:tcW w:w="92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＜300</w:t>
            </w:r>
          </w:p>
        </w:tc>
        <w:tc>
          <w:tcPr>
            <w:tcW w:w="84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ascii="宋体" w:hAnsi="宋体" w:cs="宋体"/>
                <w:b/>
                <w:color w:val="auto"/>
                <w:kern w:val="0"/>
                <w:szCs w:val="21"/>
                <w:highlight w:val="none"/>
              </w:rPr>
            </w:pPr>
            <w:r>
              <w:rPr>
                <w:rFonts w:hint="eastAsia" w:ascii="宋体" w:hAnsi="宋体" w:cs="宋体"/>
                <w:b/>
                <w:color w:val="auto"/>
                <w:kern w:val="0"/>
                <w:szCs w:val="21"/>
                <w:highlight w:val="none"/>
              </w:rPr>
              <w:t>3</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ascii="宋体" w:hAnsi="宋体" w:cs="宋体"/>
                <w:b/>
                <w:color w:val="auto"/>
                <w:kern w:val="0"/>
                <w:szCs w:val="21"/>
                <w:highlight w:val="none"/>
              </w:rPr>
            </w:pPr>
            <w:r>
              <w:rPr>
                <w:rFonts w:hint="eastAsia" w:ascii="宋体" w:hAnsi="宋体" w:cs="宋体"/>
                <w:b/>
                <w:color w:val="auto"/>
                <w:kern w:val="0"/>
                <w:szCs w:val="21"/>
                <w:highlight w:val="none"/>
              </w:rPr>
              <w:t>建筑业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≥80000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≥80000</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≥5000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95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≥5000</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≥300</w:t>
            </w:r>
          </w:p>
        </w:tc>
        <w:tc>
          <w:tcPr>
            <w:tcW w:w="92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9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≥300</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＜300</w:t>
            </w:r>
          </w:p>
        </w:tc>
        <w:tc>
          <w:tcPr>
            <w:tcW w:w="84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81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＜300</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ascii="宋体" w:hAnsi="宋体" w:cs="宋体"/>
                <w:b/>
                <w:color w:val="auto"/>
                <w:kern w:val="0"/>
                <w:szCs w:val="21"/>
                <w:highlight w:val="none"/>
              </w:rPr>
            </w:pPr>
            <w:r>
              <w:rPr>
                <w:rFonts w:hint="eastAsia" w:ascii="宋体" w:hAnsi="宋体" w:cs="宋体"/>
                <w:b/>
                <w:color w:val="auto"/>
                <w:kern w:val="0"/>
                <w:szCs w:val="21"/>
                <w:highlight w:val="none"/>
              </w:rPr>
              <w:t>4</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ascii="宋体" w:hAnsi="宋体" w:cs="宋体"/>
                <w:b/>
                <w:color w:val="auto"/>
                <w:kern w:val="0"/>
                <w:szCs w:val="21"/>
                <w:highlight w:val="none"/>
              </w:rPr>
            </w:pPr>
            <w:r>
              <w:rPr>
                <w:rFonts w:hint="eastAsia" w:ascii="宋体" w:hAnsi="宋体" w:cs="宋体"/>
                <w:b/>
                <w:color w:val="auto"/>
                <w:kern w:val="0"/>
                <w:szCs w:val="21"/>
                <w:highlight w:val="none"/>
              </w:rPr>
              <w:t>批发业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≥40000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≥200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≥5000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≥20</w:t>
            </w:r>
          </w:p>
        </w:tc>
        <w:tc>
          <w:tcPr>
            <w:tcW w:w="95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≥1000</w:t>
            </w:r>
          </w:p>
        </w:tc>
        <w:tc>
          <w:tcPr>
            <w:tcW w:w="92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＜1000</w:t>
            </w:r>
          </w:p>
        </w:tc>
        <w:tc>
          <w:tcPr>
            <w:tcW w:w="84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＜5</w:t>
            </w:r>
          </w:p>
        </w:tc>
        <w:tc>
          <w:tcPr>
            <w:tcW w:w="81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ascii="宋体" w:hAnsi="宋体" w:cs="宋体"/>
                <w:b/>
                <w:color w:val="auto"/>
                <w:kern w:val="0"/>
                <w:szCs w:val="21"/>
                <w:highlight w:val="none"/>
              </w:rPr>
            </w:pPr>
            <w:r>
              <w:rPr>
                <w:rFonts w:hint="eastAsia" w:ascii="宋体" w:hAnsi="宋体" w:cs="宋体"/>
                <w:b/>
                <w:color w:val="auto"/>
                <w:kern w:val="0"/>
                <w:szCs w:val="21"/>
                <w:highlight w:val="none"/>
              </w:rPr>
              <w:t>5</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ascii="宋体" w:hAnsi="宋体" w:cs="宋体"/>
                <w:b/>
                <w:color w:val="auto"/>
                <w:kern w:val="0"/>
                <w:szCs w:val="21"/>
                <w:highlight w:val="none"/>
              </w:rPr>
            </w:pPr>
            <w:r>
              <w:rPr>
                <w:rFonts w:hint="eastAsia" w:ascii="宋体" w:hAnsi="宋体" w:cs="宋体"/>
                <w:b/>
                <w:color w:val="auto"/>
                <w:kern w:val="0"/>
                <w:szCs w:val="21"/>
                <w:highlight w:val="none"/>
              </w:rPr>
              <w:t>零售业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≥20000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≥500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≥50</w:t>
            </w:r>
          </w:p>
        </w:tc>
        <w:tc>
          <w:tcPr>
            <w:tcW w:w="95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ascii="宋体" w:hAnsi="宋体" w:cs="宋体"/>
                <w:b/>
                <w:color w:val="auto"/>
                <w:kern w:val="0"/>
                <w:szCs w:val="21"/>
                <w:highlight w:val="none"/>
              </w:rPr>
            </w:pPr>
            <w:r>
              <w:rPr>
                <w:rFonts w:hint="eastAsia" w:ascii="宋体" w:hAnsi="宋体" w:cs="宋体"/>
                <w:b/>
                <w:color w:val="auto"/>
                <w:kern w:val="0"/>
                <w:szCs w:val="21"/>
                <w:highlight w:val="none"/>
              </w:rPr>
              <w:t>6</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ascii="宋体" w:hAnsi="宋体" w:cs="宋体"/>
                <w:b/>
                <w:color w:val="auto"/>
                <w:kern w:val="0"/>
                <w:szCs w:val="21"/>
                <w:highlight w:val="none"/>
              </w:rPr>
            </w:pPr>
            <w:r>
              <w:rPr>
                <w:rFonts w:hint="eastAsia" w:ascii="宋体" w:hAnsi="宋体" w:cs="宋体"/>
                <w:b/>
                <w:color w:val="auto"/>
                <w:kern w:val="0"/>
                <w:szCs w:val="21"/>
                <w:highlight w:val="none"/>
              </w:rPr>
              <w:t>交通运输业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≥30000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≥3000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≥200</w:t>
            </w:r>
          </w:p>
        </w:tc>
        <w:tc>
          <w:tcPr>
            <w:tcW w:w="92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＜200</w:t>
            </w:r>
          </w:p>
        </w:tc>
        <w:tc>
          <w:tcPr>
            <w:tcW w:w="84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ascii="宋体" w:hAnsi="宋体" w:cs="宋体"/>
                <w:b/>
                <w:color w:val="auto"/>
                <w:kern w:val="0"/>
                <w:szCs w:val="21"/>
                <w:highlight w:val="none"/>
              </w:rPr>
            </w:pPr>
            <w:r>
              <w:rPr>
                <w:rFonts w:hint="eastAsia" w:ascii="宋体" w:hAnsi="宋体" w:cs="宋体"/>
                <w:b/>
                <w:color w:val="auto"/>
                <w:kern w:val="0"/>
                <w:szCs w:val="21"/>
                <w:highlight w:val="none"/>
              </w:rPr>
              <w:t>7</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ascii="宋体" w:hAnsi="宋体" w:cs="宋体"/>
                <w:b/>
                <w:color w:val="auto"/>
                <w:kern w:val="0"/>
                <w:szCs w:val="21"/>
                <w:highlight w:val="none"/>
              </w:rPr>
            </w:pPr>
            <w:r>
              <w:rPr>
                <w:rFonts w:hint="eastAsia" w:ascii="宋体" w:hAnsi="宋体" w:cs="宋体"/>
                <w:b/>
                <w:color w:val="auto"/>
                <w:kern w:val="0"/>
                <w:szCs w:val="21"/>
                <w:highlight w:val="none"/>
              </w:rPr>
              <w:t>仓储业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≥30000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≥200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ascii="宋体" w:hAnsi="宋体" w:cs="宋体"/>
                <w:b/>
                <w:color w:val="auto"/>
                <w:kern w:val="0"/>
                <w:szCs w:val="21"/>
                <w:highlight w:val="none"/>
              </w:rPr>
            </w:pPr>
            <w:r>
              <w:rPr>
                <w:rFonts w:hint="eastAsia" w:ascii="宋体" w:hAnsi="宋体" w:cs="宋体"/>
                <w:b/>
                <w:color w:val="auto"/>
                <w:kern w:val="0"/>
                <w:szCs w:val="21"/>
                <w:highlight w:val="none"/>
              </w:rPr>
              <w:t>8</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ascii="宋体" w:hAnsi="宋体" w:cs="宋体"/>
                <w:b/>
                <w:color w:val="auto"/>
                <w:kern w:val="0"/>
                <w:szCs w:val="21"/>
                <w:highlight w:val="none"/>
              </w:rPr>
            </w:pPr>
            <w:r>
              <w:rPr>
                <w:rFonts w:hint="eastAsia" w:ascii="宋体" w:hAnsi="宋体" w:cs="宋体"/>
                <w:b/>
                <w:color w:val="auto"/>
                <w:kern w:val="0"/>
                <w:szCs w:val="21"/>
                <w:highlight w:val="none"/>
              </w:rPr>
              <w:t>邮政业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≥30000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ascii="宋体" w:hAnsi="宋体" w:cs="宋体"/>
                <w:b/>
                <w:color w:val="auto"/>
                <w:kern w:val="0"/>
                <w:szCs w:val="21"/>
                <w:highlight w:val="none"/>
              </w:rPr>
            </w:pPr>
            <w:r>
              <w:rPr>
                <w:rFonts w:hint="eastAsia" w:ascii="宋体" w:hAnsi="宋体" w:cs="宋体"/>
                <w:b/>
                <w:color w:val="auto"/>
                <w:kern w:val="0"/>
                <w:szCs w:val="21"/>
                <w:highlight w:val="none"/>
              </w:rPr>
              <w:t>9</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ascii="宋体" w:hAnsi="宋体" w:cs="宋体"/>
                <w:b/>
                <w:color w:val="auto"/>
                <w:kern w:val="0"/>
                <w:szCs w:val="21"/>
                <w:highlight w:val="none"/>
              </w:rPr>
            </w:pPr>
            <w:r>
              <w:rPr>
                <w:rFonts w:hint="eastAsia" w:ascii="宋体" w:hAnsi="宋体" w:cs="宋体"/>
                <w:b/>
                <w:color w:val="auto"/>
                <w:kern w:val="0"/>
                <w:szCs w:val="21"/>
                <w:highlight w:val="none"/>
              </w:rPr>
              <w:t>住宿业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≥10000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ascii="宋体" w:hAnsi="宋体" w:cs="宋体"/>
                <w:b/>
                <w:color w:val="auto"/>
                <w:kern w:val="0"/>
                <w:szCs w:val="21"/>
                <w:highlight w:val="none"/>
              </w:rPr>
            </w:pPr>
            <w:r>
              <w:rPr>
                <w:rFonts w:hint="eastAsia" w:ascii="宋体" w:hAnsi="宋体" w:cs="宋体"/>
                <w:b/>
                <w:color w:val="auto"/>
                <w:kern w:val="0"/>
                <w:szCs w:val="21"/>
                <w:highlight w:val="none"/>
              </w:rPr>
              <w:t>10</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ascii="宋体" w:hAnsi="宋体" w:cs="宋体"/>
                <w:b/>
                <w:color w:val="auto"/>
                <w:kern w:val="0"/>
                <w:szCs w:val="21"/>
                <w:highlight w:val="none"/>
              </w:rPr>
            </w:pPr>
            <w:r>
              <w:rPr>
                <w:rFonts w:hint="eastAsia" w:ascii="宋体" w:hAnsi="宋体" w:cs="宋体"/>
                <w:b/>
                <w:color w:val="auto"/>
                <w:kern w:val="0"/>
                <w:szCs w:val="21"/>
                <w:highlight w:val="none"/>
              </w:rPr>
              <w:t>餐饮业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≥10000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ascii="宋体" w:hAnsi="宋体" w:cs="宋体"/>
                <w:b/>
                <w:color w:val="auto"/>
                <w:kern w:val="0"/>
                <w:szCs w:val="21"/>
                <w:highlight w:val="none"/>
              </w:rPr>
            </w:pPr>
            <w:r>
              <w:rPr>
                <w:rFonts w:hint="eastAsia" w:ascii="宋体" w:hAnsi="宋体" w:cs="宋体"/>
                <w:b/>
                <w:color w:val="auto"/>
                <w:kern w:val="0"/>
                <w:szCs w:val="21"/>
                <w:highlight w:val="none"/>
              </w:rPr>
              <w:t>11</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ascii="宋体" w:hAnsi="宋体" w:cs="宋体"/>
                <w:b/>
                <w:color w:val="auto"/>
                <w:kern w:val="0"/>
                <w:szCs w:val="21"/>
                <w:highlight w:val="none"/>
              </w:rPr>
            </w:pPr>
            <w:r>
              <w:rPr>
                <w:rFonts w:hint="eastAsia" w:ascii="宋体" w:hAnsi="宋体" w:cs="宋体"/>
                <w:b/>
                <w:color w:val="auto"/>
                <w:kern w:val="0"/>
                <w:szCs w:val="21"/>
                <w:highlight w:val="none"/>
              </w:rPr>
              <w:t>信息传输业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≥100000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≥2000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ascii="宋体" w:hAnsi="宋体" w:cs="宋体"/>
                <w:b/>
                <w:color w:val="auto"/>
                <w:kern w:val="0"/>
                <w:szCs w:val="21"/>
                <w:highlight w:val="none"/>
              </w:rPr>
            </w:pPr>
            <w:r>
              <w:rPr>
                <w:rFonts w:hint="eastAsia" w:ascii="宋体" w:hAnsi="宋体" w:cs="宋体"/>
                <w:b/>
                <w:color w:val="auto"/>
                <w:kern w:val="0"/>
                <w:szCs w:val="21"/>
                <w:highlight w:val="none"/>
              </w:rPr>
              <w:t>12</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ascii="宋体" w:hAnsi="宋体" w:cs="宋体"/>
                <w:b/>
                <w:color w:val="auto"/>
                <w:kern w:val="0"/>
                <w:szCs w:val="21"/>
                <w:highlight w:val="none"/>
              </w:rPr>
            </w:pPr>
            <w:r>
              <w:rPr>
                <w:rFonts w:hint="eastAsia" w:ascii="宋体" w:hAnsi="宋体" w:cs="宋体"/>
                <w:b/>
                <w:color w:val="auto"/>
                <w:kern w:val="0"/>
                <w:szCs w:val="21"/>
                <w:highlight w:val="none"/>
              </w:rPr>
              <w:t>软件和信息技术货物业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≥10000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≥50</w:t>
            </w:r>
          </w:p>
        </w:tc>
        <w:tc>
          <w:tcPr>
            <w:tcW w:w="92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＜50</w:t>
            </w:r>
          </w:p>
        </w:tc>
        <w:tc>
          <w:tcPr>
            <w:tcW w:w="84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ascii="宋体" w:hAnsi="宋体" w:cs="宋体"/>
                <w:b/>
                <w:color w:val="auto"/>
                <w:kern w:val="0"/>
                <w:szCs w:val="21"/>
                <w:highlight w:val="none"/>
              </w:rPr>
            </w:pPr>
            <w:r>
              <w:rPr>
                <w:rFonts w:hint="eastAsia" w:ascii="宋体" w:hAnsi="宋体" w:cs="宋体"/>
                <w:b/>
                <w:color w:val="auto"/>
                <w:kern w:val="0"/>
                <w:szCs w:val="21"/>
                <w:highlight w:val="none"/>
              </w:rPr>
              <w:t>13</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ascii="宋体" w:hAnsi="宋体" w:cs="宋体"/>
                <w:b/>
                <w:color w:val="auto"/>
                <w:kern w:val="0"/>
                <w:szCs w:val="21"/>
                <w:highlight w:val="none"/>
              </w:rPr>
            </w:pPr>
            <w:r>
              <w:rPr>
                <w:rFonts w:hint="eastAsia" w:ascii="宋体" w:hAnsi="宋体" w:cs="宋体"/>
                <w:b/>
                <w:color w:val="auto"/>
                <w:kern w:val="0"/>
                <w:szCs w:val="21"/>
                <w:highlight w:val="none"/>
              </w:rPr>
              <w:t>房地产开发经验</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≥200000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或,≥10000</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95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且,≥5000</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9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且,≥2000</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81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或,＜2000</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ascii="宋体" w:hAnsi="宋体" w:cs="宋体"/>
                <w:b/>
                <w:color w:val="auto"/>
                <w:kern w:val="0"/>
                <w:szCs w:val="21"/>
                <w:highlight w:val="none"/>
              </w:rPr>
            </w:pPr>
            <w:r>
              <w:rPr>
                <w:rFonts w:hint="eastAsia" w:ascii="宋体" w:hAnsi="宋体" w:cs="宋体"/>
                <w:b/>
                <w:color w:val="auto"/>
                <w:kern w:val="0"/>
                <w:szCs w:val="21"/>
                <w:highlight w:val="none"/>
              </w:rPr>
              <w:t>14</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ascii="宋体" w:hAnsi="宋体" w:cs="宋体"/>
                <w:b/>
                <w:color w:val="auto"/>
                <w:kern w:val="0"/>
                <w:szCs w:val="21"/>
                <w:highlight w:val="none"/>
              </w:rPr>
            </w:pPr>
            <w:r>
              <w:rPr>
                <w:rFonts w:hint="eastAsia" w:ascii="宋体" w:hAnsi="宋体" w:cs="宋体"/>
                <w:b/>
                <w:color w:val="auto"/>
                <w:kern w:val="0"/>
                <w:szCs w:val="21"/>
                <w:highlight w:val="none"/>
              </w:rPr>
              <w:t>物业管理</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≥5000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≥500</w:t>
            </w:r>
          </w:p>
        </w:tc>
        <w:tc>
          <w:tcPr>
            <w:tcW w:w="92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9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＜500</w:t>
            </w:r>
          </w:p>
        </w:tc>
        <w:tc>
          <w:tcPr>
            <w:tcW w:w="84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81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ascii="宋体" w:hAnsi="宋体" w:cs="宋体"/>
                <w:b/>
                <w:color w:val="auto"/>
                <w:kern w:val="0"/>
                <w:szCs w:val="21"/>
                <w:highlight w:val="none"/>
              </w:rPr>
            </w:pPr>
            <w:r>
              <w:rPr>
                <w:rFonts w:hint="eastAsia" w:ascii="宋体" w:hAnsi="宋体" w:cs="宋体"/>
                <w:b/>
                <w:color w:val="auto"/>
                <w:kern w:val="0"/>
                <w:szCs w:val="21"/>
                <w:highlight w:val="none"/>
              </w:rPr>
              <w:t>15</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ascii="宋体" w:hAnsi="宋体" w:cs="宋体"/>
                <w:b/>
                <w:color w:val="auto"/>
                <w:kern w:val="0"/>
                <w:szCs w:val="21"/>
                <w:highlight w:val="none"/>
              </w:rPr>
            </w:pPr>
            <w:r>
              <w:rPr>
                <w:rFonts w:hint="eastAsia" w:ascii="宋体" w:hAnsi="宋体" w:cs="宋体"/>
                <w:b/>
                <w:color w:val="auto"/>
                <w:kern w:val="0"/>
                <w:szCs w:val="21"/>
                <w:highlight w:val="none"/>
              </w:rPr>
              <w:t>租赁和商务</w:t>
            </w:r>
            <w:r>
              <w:rPr>
                <w:rFonts w:hint="eastAsia" w:ascii="宋体" w:hAnsi="宋体" w:cs="宋体"/>
                <w:b/>
                <w:color w:val="auto"/>
                <w:kern w:val="0"/>
                <w:szCs w:val="21"/>
                <w:highlight w:val="none"/>
                <w:lang w:val="en-US" w:eastAsia="zh-CN"/>
              </w:rPr>
              <w:t>服务</w:t>
            </w:r>
            <w:r>
              <w:rPr>
                <w:rFonts w:hint="eastAsia" w:ascii="宋体" w:hAnsi="宋体" w:cs="宋体"/>
                <w:b/>
                <w:color w:val="auto"/>
                <w:kern w:val="0"/>
                <w:szCs w:val="21"/>
                <w:highlight w:val="none"/>
              </w:rPr>
              <w:t>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或,≥120000</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且,≥8000</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92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且,≥100</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84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或,＜100</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ascii="宋体" w:hAnsi="宋体" w:cs="宋体"/>
                <w:b/>
                <w:color w:val="auto"/>
                <w:kern w:val="0"/>
                <w:szCs w:val="21"/>
                <w:highlight w:val="none"/>
              </w:rPr>
            </w:pPr>
            <w:r>
              <w:rPr>
                <w:rFonts w:hint="eastAsia" w:ascii="宋体" w:hAnsi="宋体" w:cs="宋体"/>
                <w:b/>
                <w:color w:val="auto"/>
                <w:kern w:val="0"/>
                <w:szCs w:val="21"/>
                <w:highlight w:val="none"/>
              </w:rPr>
              <w:t>16</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ascii="宋体" w:hAnsi="宋体" w:cs="宋体"/>
                <w:b/>
                <w:color w:val="auto"/>
                <w:kern w:val="0"/>
                <w:szCs w:val="21"/>
                <w:highlight w:val="none"/>
              </w:rPr>
            </w:pPr>
            <w:r>
              <w:rPr>
                <w:rFonts w:hint="eastAsia" w:ascii="宋体" w:hAnsi="宋体" w:cs="宋体"/>
                <w:b/>
                <w:color w:val="auto"/>
                <w:kern w:val="0"/>
                <w:szCs w:val="21"/>
                <w:highlight w:val="none"/>
              </w:rPr>
              <w:t>其他未列明行业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92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84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r>
    </w:tbl>
    <w:p>
      <w:pPr>
        <w:rPr>
          <w:color w:val="auto"/>
          <w:highlight w:val="none"/>
        </w:rPr>
      </w:pPr>
    </w:p>
    <w:p>
      <w:pPr>
        <w:pStyle w:val="21"/>
        <w:ind w:left="0" w:leftChars="0" w:firstLine="0" w:firstLineChars="0"/>
        <w:rPr>
          <w:color w:val="auto"/>
          <w:highlight w:val="none"/>
        </w:rPr>
        <w:sectPr>
          <w:pgSz w:w="16838" w:h="11906" w:orient="landscape"/>
          <w:pgMar w:top="1304" w:right="1361" w:bottom="1304" w:left="1247" w:header="680" w:footer="680" w:gutter="0"/>
          <w:cols w:space="0" w:num="1"/>
          <w:rtlGutter w:val="0"/>
          <w:docGrid w:linePitch="312" w:charSpace="0"/>
        </w:sectPr>
      </w:pPr>
    </w:p>
    <w:p>
      <w:pPr>
        <w:snapToGrid w:val="0"/>
        <w:spacing w:line="360" w:lineRule="auto"/>
        <w:textAlignment w:val="bottom"/>
        <w:rPr>
          <w:color w:val="auto"/>
          <w:highlight w:val="none"/>
        </w:rPr>
      </w:pPr>
      <w:r>
        <w:rPr>
          <w:rFonts w:hint="eastAsia" w:ascii="宋体" w:hAnsi="宋体" w:eastAsia="宋体" w:cs="宋体"/>
          <w:b/>
          <w:color w:val="auto"/>
          <w:sz w:val="24"/>
          <w:szCs w:val="28"/>
          <w:highlight w:val="none"/>
          <w:lang w:eastAsia="zh-CN"/>
        </w:rPr>
        <w:t>格式十：招标</w:t>
      </w:r>
      <w:r>
        <w:rPr>
          <w:rFonts w:hint="eastAsia" w:ascii="宋体" w:hAnsi="宋体" w:eastAsia="宋体" w:cs="宋体"/>
          <w:b/>
          <w:color w:val="auto"/>
          <w:sz w:val="24"/>
          <w:szCs w:val="28"/>
          <w:highlight w:val="none"/>
        </w:rPr>
        <w:t>文件中要求的资料或投标</w:t>
      </w:r>
      <w:r>
        <w:rPr>
          <w:rFonts w:hint="eastAsia" w:ascii="宋体" w:hAnsi="宋体" w:cs="宋体"/>
          <w:b/>
          <w:color w:val="auto"/>
          <w:sz w:val="24"/>
          <w:szCs w:val="28"/>
          <w:highlight w:val="none"/>
          <w:lang w:val="en-US" w:eastAsia="zh-CN"/>
        </w:rPr>
        <w:t>人</w:t>
      </w:r>
      <w:r>
        <w:rPr>
          <w:rFonts w:hint="eastAsia" w:ascii="宋体" w:hAnsi="宋体" w:eastAsia="宋体" w:cs="宋体"/>
          <w:b/>
          <w:color w:val="auto"/>
          <w:sz w:val="24"/>
          <w:szCs w:val="28"/>
          <w:highlight w:val="none"/>
        </w:rPr>
        <w:t>认为针对本项目有必要提供的资料，附后。</w:t>
      </w:r>
    </w:p>
    <w:p>
      <w:pPr>
        <w:pStyle w:val="14"/>
        <w:numPr>
          <w:ilvl w:val="0"/>
          <w:numId w:val="0"/>
        </w:numPr>
        <w:rPr>
          <w:rFonts w:hint="eastAsia" w:ascii="宋体" w:hAnsi="宋体" w:eastAsia="宋体" w:cs="宋体"/>
          <w:color w:val="auto"/>
          <w:sz w:val="24"/>
          <w:szCs w:val="24"/>
          <w:highlight w:val="none"/>
          <w:lang w:val="en-US" w:eastAsia="zh-CN"/>
        </w:rPr>
      </w:pPr>
    </w:p>
    <w:p>
      <w:pPr>
        <w:pStyle w:val="14"/>
        <w:numPr>
          <w:ilvl w:val="0"/>
          <w:numId w:val="0"/>
        </w:num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1.具备有效的营业执照，标书内提供复印件加盖公章。</w:t>
      </w:r>
    </w:p>
    <w:p>
      <w:pPr>
        <w:numPr>
          <w:ilvl w:val="0"/>
          <w:numId w:val="0"/>
        </w:numPr>
        <w:rPr>
          <w:rFonts w:hint="eastAsia" w:ascii="宋体" w:hAnsi="宋体" w:eastAsia="宋体" w:cs="宋体"/>
          <w:sz w:val="24"/>
          <w:szCs w:val="24"/>
          <w:highlight w:val="none"/>
          <w:lang w:val="en-US" w:eastAsia="zh-CN"/>
        </w:rPr>
      </w:pPr>
    </w:p>
    <w:p>
      <w:pPr>
        <w:pStyle w:val="14"/>
        <w:rPr>
          <w:rFonts w:hint="eastAsia" w:ascii="宋体" w:hAnsi="宋体" w:eastAsia="宋体" w:cs="宋体"/>
          <w:sz w:val="24"/>
          <w:szCs w:val="24"/>
          <w:highlight w:val="none"/>
          <w:lang w:val="en-US" w:eastAsia="zh-CN"/>
        </w:rPr>
      </w:pPr>
    </w:p>
    <w:p>
      <w:pPr>
        <w:pStyle w:val="14"/>
        <w:rPr>
          <w:rFonts w:hint="default"/>
          <w:highlight w:val="none"/>
          <w:lang w:val="en-US" w:eastAsia="zh-CN"/>
        </w:rPr>
      </w:pP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lang w:val="en-US" w:eastAsia="zh-CN"/>
        </w:rPr>
        <w:t>投标</w:t>
      </w:r>
      <w:r>
        <w:rPr>
          <w:rFonts w:hint="eastAsia" w:ascii="宋体" w:hAnsi="宋体" w:cs="宋体"/>
          <w:sz w:val="24"/>
          <w:szCs w:val="24"/>
          <w:highlight w:val="none"/>
          <w:lang w:val="en-US" w:eastAsia="zh-CN"/>
        </w:rPr>
        <w:t>人</w:t>
      </w:r>
      <w:r>
        <w:rPr>
          <w:rFonts w:hint="eastAsia" w:ascii="宋体" w:hAnsi="宋体" w:eastAsia="宋体" w:cs="宋体"/>
          <w:sz w:val="24"/>
          <w:szCs w:val="24"/>
          <w:highlight w:val="none"/>
          <w:lang w:val="en-US" w:eastAsia="zh-CN"/>
        </w:rPr>
        <w:t>认为针对本项目有必要提供的资料，附后。</w:t>
      </w:r>
    </w:p>
    <w:p>
      <w:pPr>
        <w:pStyle w:val="21"/>
        <w:rPr>
          <w:rFonts w:hint="eastAsia" w:eastAsia="楷体_GB2312"/>
          <w:color w:val="auto"/>
          <w:highlight w:val="none"/>
          <w:lang w:eastAsia="zh-CN"/>
        </w:rPr>
      </w:pPr>
    </w:p>
    <w:sectPr>
      <w:pgSz w:w="11906" w:h="16838"/>
      <w:pgMar w:top="1361" w:right="1304" w:bottom="1247" w:left="1304" w:header="680" w:footer="680"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MS Gothic">
    <w:panose1 w:val="020B0609070205080204"/>
    <w:charset w:val="80"/>
    <w:family w:val="modern"/>
    <w:pitch w:val="default"/>
    <w:sig w:usb0="E00002FF" w:usb1="6AC7FDFB" w:usb2="08000012" w:usb3="00000000" w:csb0="4002009F" w:csb1="DFD7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center" w:y="1"/>
      <w:rPr>
        <w:rStyle w:val="26"/>
        <w:rFonts w:hint="default"/>
      </w:rPr>
    </w:pPr>
    <w:r>
      <w:fldChar w:fldCharType="begin"/>
    </w:r>
    <w:r>
      <w:rPr>
        <w:rStyle w:val="26"/>
      </w:rPr>
      <w:instrText xml:space="preserve">PAGE  </w:instrText>
    </w:r>
    <w:r>
      <w:fldChar w:fldCharType="separate"/>
    </w:r>
    <w:r>
      <w:rPr>
        <w:rStyle w:val="26"/>
      </w:rPr>
      <w:t>33</w:t>
    </w:r>
    <w:r>
      <w:fldChar w:fldCharType="end"/>
    </w:r>
  </w:p>
  <w:p>
    <w:pPr>
      <w:pStyle w:val="14"/>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320"/>
        <w:tab w:val="right" w:pos="8640"/>
        <w:tab w:val="clear" w:pos="4153"/>
        <w:tab w:val="clear" w:pos="8306"/>
      </w:tabs>
      <w:rPr>
        <w:rStyle w:val="26"/>
        <w:rFonts w:hint="default"/>
      </w:rPr>
    </w:pPr>
    <w:r>
      <w:rPr>
        <w:rFonts w:hint="default"/>
        <w:lang w:val="en-US"/>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67945" cy="162560"/>
              <wp:effectExtent l="0" t="0" r="0" b="0"/>
              <wp:wrapNone/>
              <wp:docPr id="2" name="文本框 1"/>
              <wp:cNvGraphicFramePr/>
              <a:graphic xmlns:a="http://schemas.openxmlformats.org/drawingml/2006/main">
                <a:graphicData uri="http://schemas.microsoft.com/office/word/2010/wordprocessingShape">
                  <wps:wsp>
                    <wps:cNvSpPr txBox="1"/>
                    <wps:spPr>
                      <a:xfrm>
                        <a:off x="0" y="0"/>
                        <a:ext cx="67945" cy="162560"/>
                      </a:xfrm>
                      <a:prstGeom prst="rect">
                        <a:avLst/>
                      </a:prstGeom>
                      <a:noFill/>
                      <a:ln w="9525">
                        <a:noFill/>
                      </a:ln>
                      <a:effectLst/>
                    </wps:spPr>
                    <wps:txbx>
                      <w:txbxContent>
                        <w:p>
                          <w:pPr>
                            <w:snapToGrid w:val="0"/>
                            <w:rPr>
                              <w:sz w:val="18"/>
                              <w:szCs w:val="18"/>
                            </w:rPr>
                          </w:pPr>
                          <w:r>
                            <w:fldChar w:fldCharType="begin"/>
                          </w:r>
                          <w:r>
                            <w:instrText xml:space="preserve"> PAGE  \* MERGEFORMAT </w:instrText>
                          </w:r>
                          <w:r>
                            <w:fldChar w:fldCharType="separate"/>
                          </w:r>
                          <w:r>
                            <w:t>27</w:t>
                          </w:r>
                          <w: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2.8pt;width:5.35pt;mso-position-horizontal:center;mso-position-horizontal-relative:margin;mso-wrap-style:none;z-index:251659264;mso-width-relative:page;mso-height-relative:page;" filled="f" stroked="f" coordsize="21600,21600" o:gfxdata="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CsA4ATRAAAAAwEAAA8AAAAAAAAAAQAg&#10;AAAAIgAAAGRycy9kb3ducmV2LnhtbFBLAQIUABQAAAAIAIdO4kCM5Q/s3AEAAK0DAAAOAAAAAAAA&#10;AAEAIAAAACABAABkcnMvZTJvRG9jLnhtbFBLBQYAAAAABgAGAFkBAABuBQAAAAA=&#10;">
              <v:fill on="f" focussize="0,0"/>
              <v:stroke on="f"/>
              <v:imagedata o:title=""/>
              <o:lock v:ext="edit" aspectratio="f"/>
              <v:textbox inset="0mm,0mm,0mm,0mm" style="mso-fit-shape-to-text:t;">
                <w:txbxContent>
                  <w:p>
                    <w:pPr>
                      <w:snapToGrid w:val="0"/>
                      <w:rPr>
                        <w:sz w:val="18"/>
                        <w:szCs w:val="18"/>
                      </w:rPr>
                    </w:pPr>
                    <w:r>
                      <w:fldChar w:fldCharType="begin"/>
                    </w:r>
                    <w:r>
                      <w:instrText xml:space="preserve"> PAGE  \* MERGEFORMAT </w:instrText>
                    </w:r>
                    <w:r>
                      <w:fldChar w:fldCharType="separate"/>
                    </w:r>
                    <w:r>
                      <w:t>27</w:t>
                    </w:r>
                    <w:r>
                      <w:fldChar w:fldCharType="end"/>
                    </w:r>
                  </w:p>
                </w:txbxContent>
              </v:textbox>
            </v:shape>
          </w:pict>
        </mc:Fallback>
      </mc:AlternateContent>
    </w:r>
    <w:r>
      <w:rPr>
        <w:rFonts w:hint="eastAsia"/>
        <w:lang w:val="en-US" w:eastAsia="zh-CN"/>
      </w:rPr>
      <w:t>中峪国际项目管理有限公司</w:t>
    </w:r>
    <w:r>
      <w:rPr>
        <w:rStyle w:val="26"/>
      </w:rPr>
      <w:t>编制</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fldChar w:fldCharType="begin"/>
    </w:r>
    <w:r>
      <w:instrText xml:space="preserve">PAGE   \* MERGEFORMAT</w:instrText>
    </w:r>
    <w:r>
      <w:fldChar w:fldCharType="separate"/>
    </w:r>
    <w:r>
      <w:rPr>
        <w:rFonts w:hint="default"/>
        <w:lang w:val="zh-CN"/>
      </w:rPr>
      <w:t>29</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fldChar w:fldCharType="begin"/>
    </w:r>
    <w:r>
      <w:instrText xml:space="preserve">PAGE   \* MERGEFORMAT</w:instrText>
    </w:r>
    <w:r>
      <w:fldChar w:fldCharType="separate"/>
    </w:r>
    <w:r>
      <w:rPr>
        <w:rFonts w:hint="default"/>
        <w:lang w:val="zh-CN"/>
      </w:rPr>
      <w:t>29</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BE6A12"/>
    <w:multiLevelType w:val="singleLevel"/>
    <w:tmpl w:val="85BE6A12"/>
    <w:lvl w:ilvl="0" w:tentative="0">
      <w:start w:val="1"/>
      <w:numFmt w:val="decimal"/>
      <w:suff w:val="nothing"/>
      <w:lvlText w:val="（%1）"/>
      <w:lvlJc w:val="left"/>
      <w:rPr>
        <w:rFonts w:hint="default"/>
        <w:highlight w:val="none"/>
      </w:rPr>
    </w:lvl>
  </w:abstractNum>
  <w:abstractNum w:abstractNumId="1">
    <w:nsid w:val="875AB0A1"/>
    <w:multiLevelType w:val="singleLevel"/>
    <w:tmpl w:val="875AB0A1"/>
    <w:lvl w:ilvl="0" w:tentative="0">
      <w:start w:val="1"/>
      <w:numFmt w:val="chineseCounting"/>
      <w:suff w:val="nothing"/>
      <w:lvlText w:val="%1、"/>
      <w:lvlJc w:val="left"/>
      <w:pPr>
        <w:ind w:left="-420" w:firstLine="420"/>
      </w:pPr>
      <w:rPr>
        <w:rFonts w:hint="eastAsia"/>
      </w:rPr>
    </w:lvl>
  </w:abstractNum>
  <w:abstractNum w:abstractNumId="2">
    <w:nsid w:val="930F214F"/>
    <w:multiLevelType w:val="singleLevel"/>
    <w:tmpl w:val="930F214F"/>
    <w:lvl w:ilvl="0" w:tentative="0">
      <w:start w:val="25"/>
      <w:numFmt w:val="decimal"/>
      <w:suff w:val="nothing"/>
      <w:lvlText w:val="%1、"/>
      <w:lvlJc w:val="left"/>
    </w:lvl>
  </w:abstractNum>
  <w:abstractNum w:abstractNumId="3">
    <w:nsid w:val="A45448B7"/>
    <w:multiLevelType w:val="singleLevel"/>
    <w:tmpl w:val="A45448B7"/>
    <w:lvl w:ilvl="0" w:tentative="0">
      <w:start w:val="1"/>
      <w:numFmt w:val="decimal"/>
      <w:suff w:val="nothing"/>
      <w:lvlText w:val="（%1）"/>
      <w:lvlJc w:val="left"/>
    </w:lvl>
  </w:abstractNum>
  <w:abstractNum w:abstractNumId="4">
    <w:nsid w:val="0000000C"/>
    <w:multiLevelType w:val="multilevel"/>
    <w:tmpl w:val="0000000C"/>
    <w:lvl w:ilvl="0" w:tentative="0">
      <w:start w:val="1"/>
      <w:numFmt w:val="decimal"/>
      <w:lvlText w:val="%1、"/>
      <w:lvlJc w:val="left"/>
      <w:pPr>
        <w:tabs>
          <w:tab w:val="left" w:pos="900"/>
        </w:tabs>
        <w:ind w:left="900" w:hanging="360"/>
      </w:pPr>
      <w:rPr>
        <w:rFonts w:hint="eastAsia" w:ascii="仿宋_GB2312" w:hAnsi="Times New Roman" w:eastAsia="仿宋_GB2312" w:cs="Times New Roman"/>
      </w:rPr>
    </w:lvl>
    <w:lvl w:ilvl="1" w:tentative="0">
      <w:start w:val="1"/>
      <w:numFmt w:val="lowerLetter"/>
      <w:lvlText w:val="%2)"/>
      <w:lvlJc w:val="left"/>
      <w:pPr>
        <w:tabs>
          <w:tab w:val="left" w:pos="1560"/>
        </w:tabs>
        <w:ind w:left="1560" w:hanging="420"/>
      </w:pPr>
    </w:lvl>
    <w:lvl w:ilvl="2" w:tentative="0">
      <w:start w:val="1"/>
      <w:numFmt w:val="lowerRoman"/>
      <w:lvlText w:val="%3."/>
      <w:lvlJc w:val="right"/>
      <w:pPr>
        <w:tabs>
          <w:tab w:val="left" w:pos="1980"/>
        </w:tabs>
        <w:ind w:left="1980" w:hanging="420"/>
      </w:pPr>
    </w:lvl>
    <w:lvl w:ilvl="3" w:tentative="0">
      <w:start w:val="1"/>
      <w:numFmt w:val="decimal"/>
      <w:lvlText w:val="%4."/>
      <w:lvlJc w:val="left"/>
      <w:pPr>
        <w:tabs>
          <w:tab w:val="left" w:pos="2400"/>
        </w:tabs>
        <w:ind w:left="2400" w:hanging="420"/>
      </w:pPr>
    </w:lvl>
    <w:lvl w:ilvl="4" w:tentative="0">
      <w:start w:val="1"/>
      <w:numFmt w:val="lowerLetter"/>
      <w:lvlText w:val="%5)"/>
      <w:lvlJc w:val="left"/>
      <w:pPr>
        <w:tabs>
          <w:tab w:val="left" w:pos="2820"/>
        </w:tabs>
        <w:ind w:left="2820" w:hanging="420"/>
      </w:pPr>
    </w:lvl>
    <w:lvl w:ilvl="5" w:tentative="0">
      <w:start w:val="1"/>
      <w:numFmt w:val="lowerRoman"/>
      <w:lvlText w:val="%6."/>
      <w:lvlJc w:val="right"/>
      <w:pPr>
        <w:tabs>
          <w:tab w:val="left" w:pos="3240"/>
        </w:tabs>
        <w:ind w:left="3240" w:hanging="420"/>
      </w:pPr>
    </w:lvl>
    <w:lvl w:ilvl="6" w:tentative="0">
      <w:start w:val="1"/>
      <w:numFmt w:val="decimal"/>
      <w:lvlText w:val="%7."/>
      <w:lvlJc w:val="left"/>
      <w:pPr>
        <w:tabs>
          <w:tab w:val="left" w:pos="3660"/>
        </w:tabs>
        <w:ind w:left="3660" w:hanging="420"/>
      </w:pPr>
    </w:lvl>
    <w:lvl w:ilvl="7" w:tentative="0">
      <w:start w:val="1"/>
      <w:numFmt w:val="lowerLetter"/>
      <w:lvlText w:val="%8)"/>
      <w:lvlJc w:val="left"/>
      <w:pPr>
        <w:tabs>
          <w:tab w:val="left" w:pos="4080"/>
        </w:tabs>
        <w:ind w:left="4080" w:hanging="420"/>
      </w:pPr>
    </w:lvl>
    <w:lvl w:ilvl="8" w:tentative="0">
      <w:start w:val="1"/>
      <w:numFmt w:val="lowerRoman"/>
      <w:lvlText w:val="%9."/>
      <w:lvlJc w:val="right"/>
      <w:pPr>
        <w:tabs>
          <w:tab w:val="left" w:pos="4500"/>
        </w:tabs>
        <w:ind w:left="4500" w:hanging="420"/>
      </w:pPr>
    </w:lvl>
  </w:abstractNum>
  <w:abstractNum w:abstractNumId="5">
    <w:nsid w:val="1A2EBBC9"/>
    <w:multiLevelType w:val="singleLevel"/>
    <w:tmpl w:val="1A2EBBC9"/>
    <w:lvl w:ilvl="0" w:tentative="0">
      <w:start w:val="1"/>
      <w:numFmt w:val="decimal"/>
      <w:suff w:val="space"/>
      <w:lvlText w:val="%1."/>
      <w:lvlJc w:val="left"/>
    </w:lvl>
  </w:abstractNum>
  <w:abstractNum w:abstractNumId="6">
    <w:nsid w:val="1AFFCE20"/>
    <w:multiLevelType w:val="singleLevel"/>
    <w:tmpl w:val="1AFFCE20"/>
    <w:lvl w:ilvl="0" w:tentative="0">
      <w:start w:val="3"/>
      <w:numFmt w:val="decimal"/>
      <w:suff w:val="nothing"/>
      <w:lvlText w:val="%1）"/>
      <w:lvlJc w:val="left"/>
    </w:lvl>
  </w:abstractNum>
  <w:abstractNum w:abstractNumId="7">
    <w:nsid w:val="582BD15B"/>
    <w:multiLevelType w:val="singleLevel"/>
    <w:tmpl w:val="582BD15B"/>
    <w:lvl w:ilvl="0" w:tentative="0">
      <w:start w:val="1"/>
      <w:numFmt w:val="decimal"/>
      <w:suff w:val="nothing"/>
      <w:lvlText w:val="%1、"/>
      <w:lvlJc w:val="left"/>
    </w:lvl>
  </w:abstractNum>
  <w:abstractNum w:abstractNumId="8">
    <w:nsid w:val="59BCAE97"/>
    <w:multiLevelType w:val="singleLevel"/>
    <w:tmpl w:val="59BCAE97"/>
    <w:lvl w:ilvl="0" w:tentative="0">
      <w:start w:val="4"/>
      <w:numFmt w:val="chineseCounting"/>
      <w:suff w:val="nothing"/>
      <w:lvlText w:val="%1、"/>
      <w:lvlJc w:val="left"/>
    </w:lvl>
  </w:abstractNum>
  <w:abstractNum w:abstractNumId="9">
    <w:nsid w:val="611F726E"/>
    <w:multiLevelType w:val="singleLevel"/>
    <w:tmpl w:val="611F726E"/>
    <w:lvl w:ilvl="0" w:tentative="0">
      <w:start w:val="1"/>
      <w:numFmt w:val="decimal"/>
      <w:lvlText w:val="%1."/>
      <w:lvlJc w:val="left"/>
      <w:pPr>
        <w:tabs>
          <w:tab w:val="left" w:pos="312"/>
        </w:tabs>
      </w:pPr>
    </w:lvl>
  </w:abstractNum>
  <w:num w:numId="1">
    <w:abstractNumId w:val="7"/>
  </w:num>
  <w:num w:numId="2">
    <w:abstractNumId w:val="4"/>
  </w:num>
  <w:num w:numId="3">
    <w:abstractNumId w:val="2"/>
  </w:num>
  <w:num w:numId="4">
    <w:abstractNumId w:val="6"/>
  </w:num>
  <w:num w:numId="5">
    <w:abstractNumId w:val="3"/>
  </w:num>
  <w:num w:numId="6">
    <w:abstractNumId w:val="0"/>
  </w:num>
  <w:num w:numId="7">
    <w:abstractNumId w:val="8"/>
  </w:num>
  <w:num w:numId="8">
    <w:abstractNumId w:val="1"/>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xNDUwOTgyNjdlOTg1MDVmNmRkMzVhMTgzOTcwNWEifQ=="/>
    <w:docVar w:name="KSO_WPS_MARK_KEY" w:val="4808df1f-f1f7-46cf-ba44-8da015789463"/>
  </w:docVars>
  <w:rsids>
    <w:rsidRoot w:val="00D26E14"/>
    <w:rsid w:val="00010DA5"/>
    <w:rsid w:val="00027ACF"/>
    <w:rsid w:val="00037738"/>
    <w:rsid w:val="00072AA6"/>
    <w:rsid w:val="0015118F"/>
    <w:rsid w:val="001A617D"/>
    <w:rsid w:val="001D4A9C"/>
    <w:rsid w:val="001D5048"/>
    <w:rsid w:val="00226F97"/>
    <w:rsid w:val="00245C38"/>
    <w:rsid w:val="00251BAE"/>
    <w:rsid w:val="002C61A0"/>
    <w:rsid w:val="002F2DD4"/>
    <w:rsid w:val="0030212D"/>
    <w:rsid w:val="00346CC8"/>
    <w:rsid w:val="003D2D3B"/>
    <w:rsid w:val="00433511"/>
    <w:rsid w:val="00444A2C"/>
    <w:rsid w:val="00456548"/>
    <w:rsid w:val="004B1D61"/>
    <w:rsid w:val="004E7DAB"/>
    <w:rsid w:val="00512CFE"/>
    <w:rsid w:val="005A1412"/>
    <w:rsid w:val="00691D29"/>
    <w:rsid w:val="0069410B"/>
    <w:rsid w:val="006E7E4A"/>
    <w:rsid w:val="00754AE7"/>
    <w:rsid w:val="007967B1"/>
    <w:rsid w:val="007C1DF1"/>
    <w:rsid w:val="00810110"/>
    <w:rsid w:val="008E7BD6"/>
    <w:rsid w:val="008F549D"/>
    <w:rsid w:val="00910CE1"/>
    <w:rsid w:val="00912995"/>
    <w:rsid w:val="00963D6E"/>
    <w:rsid w:val="00965F57"/>
    <w:rsid w:val="009E37C6"/>
    <w:rsid w:val="00A73522"/>
    <w:rsid w:val="00AF1B76"/>
    <w:rsid w:val="00B74B69"/>
    <w:rsid w:val="00CA7EEA"/>
    <w:rsid w:val="00D26E14"/>
    <w:rsid w:val="00D31671"/>
    <w:rsid w:val="00D57192"/>
    <w:rsid w:val="00DB30A7"/>
    <w:rsid w:val="00E27EFA"/>
    <w:rsid w:val="00EA0B3B"/>
    <w:rsid w:val="00EB0391"/>
    <w:rsid w:val="00EE01F9"/>
    <w:rsid w:val="00EE7CB0"/>
    <w:rsid w:val="00F32B09"/>
    <w:rsid w:val="00F701C5"/>
    <w:rsid w:val="00F9257B"/>
    <w:rsid w:val="00FB01BE"/>
    <w:rsid w:val="00FE0150"/>
    <w:rsid w:val="01005789"/>
    <w:rsid w:val="01416376"/>
    <w:rsid w:val="014E4B8E"/>
    <w:rsid w:val="01637748"/>
    <w:rsid w:val="01967DCC"/>
    <w:rsid w:val="01BE271D"/>
    <w:rsid w:val="01DA56C9"/>
    <w:rsid w:val="02400F62"/>
    <w:rsid w:val="02556937"/>
    <w:rsid w:val="02834C9F"/>
    <w:rsid w:val="02D54E81"/>
    <w:rsid w:val="02E61A4A"/>
    <w:rsid w:val="02E9716B"/>
    <w:rsid w:val="030D3EAE"/>
    <w:rsid w:val="034E4F93"/>
    <w:rsid w:val="03801C58"/>
    <w:rsid w:val="03E575A6"/>
    <w:rsid w:val="04243BC4"/>
    <w:rsid w:val="043F793E"/>
    <w:rsid w:val="04401327"/>
    <w:rsid w:val="04856BD6"/>
    <w:rsid w:val="04AC10AC"/>
    <w:rsid w:val="05075A9C"/>
    <w:rsid w:val="051C0693"/>
    <w:rsid w:val="053F5E49"/>
    <w:rsid w:val="0549680B"/>
    <w:rsid w:val="05600E48"/>
    <w:rsid w:val="05A2768B"/>
    <w:rsid w:val="05C018BB"/>
    <w:rsid w:val="05DB4D3C"/>
    <w:rsid w:val="05E00468"/>
    <w:rsid w:val="05EF21A1"/>
    <w:rsid w:val="0613368D"/>
    <w:rsid w:val="061C5145"/>
    <w:rsid w:val="06302BC9"/>
    <w:rsid w:val="063B1871"/>
    <w:rsid w:val="06494EFE"/>
    <w:rsid w:val="064A740F"/>
    <w:rsid w:val="064F7FD8"/>
    <w:rsid w:val="0662102D"/>
    <w:rsid w:val="06831FB6"/>
    <w:rsid w:val="06853471"/>
    <w:rsid w:val="06BB2083"/>
    <w:rsid w:val="07205F69"/>
    <w:rsid w:val="075E0113"/>
    <w:rsid w:val="076D5A73"/>
    <w:rsid w:val="089D2EB8"/>
    <w:rsid w:val="08BD0334"/>
    <w:rsid w:val="08D4742C"/>
    <w:rsid w:val="090860C6"/>
    <w:rsid w:val="091A7535"/>
    <w:rsid w:val="092E0A66"/>
    <w:rsid w:val="093267F5"/>
    <w:rsid w:val="093D53EF"/>
    <w:rsid w:val="095353A6"/>
    <w:rsid w:val="09563BBA"/>
    <w:rsid w:val="098D5F59"/>
    <w:rsid w:val="09A10630"/>
    <w:rsid w:val="0A081A83"/>
    <w:rsid w:val="0A1C5AFB"/>
    <w:rsid w:val="0A424F95"/>
    <w:rsid w:val="0A4972F7"/>
    <w:rsid w:val="0A767E31"/>
    <w:rsid w:val="0A7C6506"/>
    <w:rsid w:val="0AB86248"/>
    <w:rsid w:val="0AE1059D"/>
    <w:rsid w:val="0AE503D6"/>
    <w:rsid w:val="0AEE2B7D"/>
    <w:rsid w:val="0B281C58"/>
    <w:rsid w:val="0B2D2AC3"/>
    <w:rsid w:val="0B744DAB"/>
    <w:rsid w:val="0B8964F9"/>
    <w:rsid w:val="0BA17C64"/>
    <w:rsid w:val="0BB828D6"/>
    <w:rsid w:val="0BD66D26"/>
    <w:rsid w:val="0BF508FF"/>
    <w:rsid w:val="0C0F0EA7"/>
    <w:rsid w:val="0C143C92"/>
    <w:rsid w:val="0C3B6140"/>
    <w:rsid w:val="0C3F131E"/>
    <w:rsid w:val="0C79645A"/>
    <w:rsid w:val="0CC21D86"/>
    <w:rsid w:val="0D0B106A"/>
    <w:rsid w:val="0D271704"/>
    <w:rsid w:val="0D59015A"/>
    <w:rsid w:val="0D7C07BE"/>
    <w:rsid w:val="0E166955"/>
    <w:rsid w:val="0F056766"/>
    <w:rsid w:val="0F80182A"/>
    <w:rsid w:val="0F8948D0"/>
    <w:rsid w:val="0F966E70"/>
    <w:rsid w:val="0FA07574"/>
    <w:rsid w:val="0FD51098"/>
    <w:rsid w:val="0FD515B0"/>
    <w:rsid w:val="0FF62F1B"/>
    <w:rsid w:val="0FF757D3"/>
    <w:rsid w:val="0FFC4D1D"/>
    <w:rsid w:val="0FFF5287"/>
    <w:rsid w:val="1008052F"/>
    <w:rsid w:val="10284C2D"/>
    <w:rsid w:val="104F42BA"/>
    <w:rsid w:val="107949B7"/>
    <w:rsid w:val="108005C5"/>
    <w:rsid w:val="10BB507D"/>
    <w:rsid w:val="10C61D50"/>
    <w:rsid w:val="10ED2C18"/>
    <w:rsid w:val="11422D28"/>
    <w:rsid w:val="114535BD"/>
    <w:rsid w:val="114916A6"/>
    <w:rsid w:val="11A227BD"/>
    <w:rsid w:val="11CE552C"/>
    <w:rsid w:val="11D32976"/>
    <w:rsid w:val="11F6163F"/>
    <w:rsid w:val="11FA7F03"/>
    <w:rsid w:val="12123835"/>
    <w:rsid w:val="121E62E8"/>
    <w:rsid w:val="122C27BC"/>
    <w:rsid w:val="122F22A3"/>
    <w:rsid w:val="1239500D"/>
    <w:rsid w:val="127A5AC4"/>
    <w:rsid w:val="12C31228"/>
    <w:rsid w:val="12F15724"/>
    <w:rsid w:val="12F733FB"/>
    <w:rsid w:val="13063815"/>
    <w:rsid w:val="134A5690"/>
    <w:rsid w:val="137361BF"/>
    <w:rsid w:val="138A51BD"/>
    <w:rsid w:val="139B5716"/>
    <w:rsid w:val="13B20A67"/>
    <w:rsid w:val="13F96139"/>
    <w:rsid w:val="14B4753E"/>
    <w:rsid w:val="14C01186"/>
    <w:rsid w:val="14DF6D1B"/>
    <w:rsid w:val="14F7697C"/>
    <w:rsid w:val="15035C84"/>
    <w:rsid w:val="15036BCC"/>
    <w:rsid w:val="150D0B2A"/>
    <w:rsid w:val="15171415"/>
    <w:rsid w:val="15292DC6"/>
    <w:rsid w:val="15325697"/>
    <w:rsid w:val="158E0A14"/>
    <w:rsid w:val="16086AE5"/>
    <w:rsid w:val="161C27C9"/>
    <w:rsid w:val="16215468"/>
    <w:rsid w:val="162B0FD3"/>
    <w:rsid w:val="163D13A1"/>
    <w:rsid w:val="1658050C"/>
    <w:rsid w:val="16B461B8"/>
    <w:rsid w:val="16BF4740"/>
    <w:rsid w:val="16FF3C35"/>
    <w:rsid w:val="1718237D"/>
    <w:rsid w:val="17216941"/>
    <w:rsid w:val="17413B94"/>
    <w:rsid w:val="176C0A78"/>
    <w:rsid w:val="17793FC0"/>
    <w:rsid w:val="17C22FFE"/>
    <w:rsid w:val="17C43E09"/>
    <w:rsid w:val="17DA6E89"/>
    <w:rsid w:val="186865CE"/>
    <w:rsid w:val="186E0F59"/>
    <w:rsid w:val="187E086F"/>
    <w:rsid w:val="18A12E3A"/>
    <w:rsid w:val="18A216B3"/>
    <w:rsid w:val="18B17853"/>
    <w:rsid w:val="18B80B47"/>
    <w:rsid w:val="18BE7548"/>
    <w:rsid w:val="18D5593B"/>
    <w:rsid w:val="18E872E3"/>
    <w:rsid w:val="18EA17C0"/>
    <w:rsid w:val="190B70AE"/>
    <w:rsid w:val="19195D6C"/>
    <w:rsid w:val="19257356"/>
    <w:rsid w:val="19326C65"/>
    <w:rsid w:val="193B4660"/>
    <w:rsid w:val="19445F08"/>
    <w:rsid w:val="199D6574"/>
    <w:rsid w:val="19F416DC"/>
    <w:rsid w:val="19FA1701"/>
    <w:rsid w:val="1A1E118C"/>
    <w:rsid w:val="1A246A2C"/>
    <w:rsid w:val="1A38088E"/>
    <w:rsid w:val="1A620D3B"/>
    <w:rsid w:val="1A9412B3"/>
    <w:rsid w:val="1A943AF7"/>
    <w:rsid w:val="1AD20BE1"/>
    <w:rsid w:val="1AED4AA9"/>
    <w:rsid w:val="1AF427B5"/>
    <w:rsid w:val="1AF676AF"/>
    <w:rsid w:val="1B0B0842"/>
    <w:rsid w:val="1B5B4706"/>
    <w:rsid w:val="1BB27AA1"/>
    <w:rsid w:val="1BF1169D"/>
    <w:rsid w:val="1BFE15F2"/>
    <w:rsid w:val="1C28769B"/>
    <w:rsid w:val="1C5470A3"/>
    <w:rsid w:val="1C7620D1"/>
    <w:rsid w:val="1CBF6231"/>
    <w:rsid w:val="1CE2478F"/>
    <w:rsid w:val="1D47210D"/>
    <w:rsid w:val="1D7E300F"/>
    <w:rsid w:val="1D8369F7"/>
    <w:rsid w:val="1DAC33EE"/>
    <w:rsid w:val="1DE636D3"/>
    <w:rsid w:val="1E3353B1"/>
    <w:rsid w:val="1E4B7039"/>
    <w:rsid w:val="1E546BED"/>
    <w:rsid w:val="1E6E1D80"/>
    <w:rsid w:val="1E7A1FD6"/>
    <w:rsid w:val="1E9F73DD"/>
    <w:rsid w:val="1EA5271C"/>
    <w:rsid w:val="1EE2644E"/>
    <w:rsid w:val="1EFF124F"/>
    <w:rsid w:val="1F9C293E"/>
    <w:rsid w:val="1FF9206E"/>
    <w:rsid w:val="1FFA168A"/>
    <w:rsid w:val="201746B3"/>
    <w:rsid w:val="203E4C42"/>
    <w:rsid w:val="2043387C"/>
    <w:rsid w:val="20596FAC"/>
    <w:rsid w:val="205B5927"/>
    <w:rsid w:val="20692108"/>
    <w:rsid w:val="208E6609"/>
    <w:rsid w:val="20AB05FC"/>
    <w:rsid w:val="20BA05FD"/>
    <w:rsid w:val="20BE4A62"/>
    <w:rsid w:val="20DA6DE5"/>
    <w:rsid w:val="20E11314"/>
    <w:rsid w:val="20ED3A30"/>
    <w:rsid w:val="20F751F5"/>
    <w:rsid w:val="21091054"/>
    <w:rsid w:val="216801AA"/>
    <w:rsid w:val="218D114E"/>
    <w:rsid w:val="21FC28D6"/>
    <w:rsid w:val="21FE134A"/>
    <w:rsid w:val="221E4FCE"/>
    <w:rsid w:val="22257A1B"/>
    <w:rsid w:val="22535DAF"/>
    <w:rsid w:val="2280475D"/>
    <w:rsid w:val="22B14EA2"/>
    <w:rsid w:val="22DA76D9"/>
    <w:rsid w:val="22F55CCF"/>
    <w:rsid w:val="230B38F6"/>
    <w:rsid w:val="231E6C33"/>
    <w:rsid w:val="23263FB0"/>
    <w:rsid w:val="239C706C"/>
    <w:rsid w:val="23C245F9"/>
    <w:rsid w:val="23CB0BA6"/>
    <w:rsid w:val="23CC590B"/>
    <w:rsid w:val="23CD3501"/>
    <w:rsid w:val="23EC4C79"/>
    <w:rsid w:val="24005DAF"/>
    <w:rsid w:val="24335861"/>
    <w:rsid w:val="245D7D8D"/>
    <w:rsid w:val="246575A1"/>
    <w:rsid w:val="24773635"/>
    <w:rsid w:val="248A3E63"/>
    <w:rsid w:val="249E3F6A"/>
    <w:rsid w:val="24B6056A"/>
    <w:rsid w:val="24B6415E"/>
    <w:rsid w:val="24BA4F25"/>
    <w:rsid w:val="24BF0291"/>
    <w:rsid w:val="24C27CCB"/>
    <w:rsid w:val="25396AFF"/>
    <w:rsid w:val="257D63A7"/>
    <w:rsid w:val="25960BD2"/>
    <w:rsid w:val="259B6E80"/>
    <w:rsid w:val="25C53829"/>
    <w:rsid w:val="263C0693"/>
    <w:rsid w:val="26BA342F"/>
    <w:rsid w:val="26C1503C"/>
    <w:rsid w:val="273A786C"/>
    <w:rsid w:val="27611F1D"/>
    <w:rsid w:val="27CE360B"/>
    <w:rsid w:val="27DE223D"/>
    <w:rsid w:val="27F62298"/>
    <w:rsid w:val="280E605F"/>
    <w:rsid w:val="283366AF"/>
    <w:rsid w:val="28382F91"/>
    <w:rsid w:val="287A3E90"/>
    <w:rsid w:val="291B2861"/>
    <w:rsid w:val="292D6391"/>
    <w:rsid w:val="294B7A61"/>
    <w:rsid w:val="29C24711"/>
    <w:rsid w:val="2A0769A4"/>
    <w:rsid w:val="2A267D69"/>
    <w:rsid w:val="2A5078E5"/>
    <w:rsid w:val="2A54160C"/>
    <w:rsid w:val="2A90025D"/>
    <w:rsid w:val="2A9A0970"/>
    <w:rsid w:val="2AFF40F2"/>
    <w:rsid w:val="2B261D0D"/>
    <w:rsid w:val="2B5D22E2"/>
    <w:rsid w:val="2B6C5576"/>
    <w:rsid w:val="2B7E6C3F"/>
    <w:rsid w:val="2B903E10"/>
    <w:rsid w:val="2BAE091B"/>
    <w:rsid w:val="2BEC264E"/>
    <w:rsid w:val="2C0063BD"/>
    <w:rsid w:val="2C144D04"/>
    <w:rsid w:val="2C2C2EC6"/>
    <w:rsid w:val="2C684C72"/>
    <w:rsid w:val="2C820DC9"/>
    <w:rsid w:val="2C9E2B82"/>
    <w:rsid w:val="2CC363FD"/>
    <w:rsid w:val="2CC969F8"/>
    <w:rsid w:val="2CDB3E54"/>
    <w:rsid w:val="2CE07276"/>
    <w:rsid w:val="2CE77FD5"/>
    <w:rsid w:val="2D3C26DF"/>
    <w:rsid w:val="2D3D0FF3"/>
    <w:rsid w:val="2D576931"/>
    <w:rsid w:val="2DA25F2E"/>
    <w:rsid w:val="2DD6761F"/>
    <w:rsid w:val="2DDA09D4"/>
    <w:rsid w:val="2E3771A0"/>
    <w:rsid w:val="2E44793A"/>
    <w:rsid w:val="2E541123"/>
    <w:rsid w:val="2E7E2A24"/>
    <w:rsid w:val="2E8A1747"/>
    <w:rsid w:val="2E99158F"/>
    <w:rsid w:val="2EA364DE"/>
    <w:rsid w:val="2EA80276"/>
    <w:rsid w:val="2EC76F67"/>
    <w:rsid w:val="2EE3501E"/>
    <w:rsid w:val="2EF34E9C"/>
    <w:rsid w:val="2F0725FE"/>
    <w:rsid w:val="2F397FB7"/>
    <w:rsid w:val="2F3E7229"/>
    <w:rsid w:val="2F82482C"/>
    <w:rsid w:val="2F88520F"/>
    <w:rsid w:val="2F912EFA"/>
    <w:rsid w:val="2F9E5F1A"/>
    <w:rsid w:val="2FC8318B"/>
    <w:rsid w:val="2FDB53C0"/>
    <w:rsid w:val="2FDC3A6E"/>
    <w:rsid w:val="2FDD58EE"/>
    <w:rsid w:val="3006249C"/>
    <w:rsid w:val="300B5755"/>
    <w:rsid w:val="304331AF"/>
    <w:rsid w:val="30580762"/>
    <w:rsid w:val="308A06A4"/>
    <w:rsid w:val="30E262DA"/>
    <w:rsid w:val="311E1F98"/>
    <w:rsid w:val="311F20B7"/>
    <w:rsid w:val="31280968"/>
    <w:rsid w:val="314752A9"/>
    <w:rsid w:val="31B6372C"/>
    <w:rsid w:val="320F1351"/>
    <w:rsid w:val="3220355E"/>
    <w:rsid w:val="32247EDB"/>
    <w:rsid w:val="32474EDD"/>
    <w:rsid w:val="32920E4E"/>
    <w:rsid w:val="32957444"/>
    <w:rsid w:val="32B46CCA"/>
    <w:rsid w:val="32C67055"/>
    <w:rsid w:val="32EF2111"/>
    <w:rsid w:val="33266952"/>
    <w:rsid w:val="336A1CFA"/>
    <w:rsid w:val="336F654B"/>
    <w:rsid w:val="337410FC"/>
    <w:rsid w:val="33A24EF8"/>
    <w:rsid w:val="33EA28C8"/>
    <w:rsid w:val="34134165"/>
    <w:rsid w:val="34170C14"/>
    <w:rsid w:val="34280013"/>
    <w:rsid w:val="343461A8"/>
    <w:rsid w:val="347B745B"/>
    <w:rsid w:val="349C34D3"/>
    <w:rsid w:val="34C56245"/>
    <w:rsid w:val="35333923"/>
    <w:rsid w:val="354F4BF1"/>
    <w:rsid w:val="35527ED3"/>
    <w:rsid w:val="35942299"/>
    <w:rsid w:val="35ED7BFB"/>
    <w:rsid w:val="361A1340"/>
    <w:rsid w:val="3657341A"/>
    <w:rsid w:val="369D4E03"/>
    <w:rsid w:val="36E2555D"/>
    <w:rsid w:val="36EF7BDD"/>
    <w:rsid w:val="36FB099D"/>
    <w:rsid w:val="372B0AEA"/>
    <w:rsid w:val="37324301"/>
    <w:rsid w:val="373359C5"/>
    <w:rsid w:val="375A0FAB"/>
    <w:rsid w:val="378D193F"/>
    <w:rsid w:val="37C90707"/>
    <w:rsid w:val="37DB4A48"/>
    <w:rsid w:val="37DC68F3"/>
    <w:rsid w:val="37FE84A8"/>
    <w:rsid w:val="37FF6185"/>
    <w:rsid w:val="380C03F4"/>
    <w:rsid w:val="380F39C9"/>
    <w:rsid w:val="384F3754"/>
    <w:rsid w:val="388D7422"/>
    <w:rsid w:val="38A07913"/>
    <w:rsid w:val="38A727DB"/>
    <w:rsid w:val="38C714B3"/>
    <w:rsid w:val="3911775D"/>
    <w:rsid w:val="391B4A1A"/>
    <w:rsid w:val="393A4F06"/>
    <w:rsid w:val="39407DC9"/>
    <w:rsid w:val="39477943"/>
    <w:rsid w:val="39973621"/>
    <w:rsid w:val="39BF13AF"/>
    <w:rsid w:val="39D32C64"/>
    <w:rsid w:val="39DF5FE4"/>
    <w:rsid w:val="39F16A99"/>
    <w:rsid w:val="39F654F2"/>
    <w:rsid w:val="3A311A24"/>
    <w:rsid w:val="3A450F7E"/>
    <w:rsid w:val="3A5E2A1B"/>
    <w:rsid w:val="3A694266"/>
    <w:rsid w:val="3A6D30B9"/>
    <w:rsid w:val="3A876D9C"/>
    <w:rsid w:val="3AC23405"/>
    <w:rsid w:val="3AE229EA"/>
    <w:rsid w:val="3B0658E4"/>
    <w:rsid w:val="3B086CC0"/>
    <w:rsid w:val="3B306BD7"/>
    <w:rsid w:val="3B4133D9"/>
    <w:rsid w:val="3B460E52"/>
    <w:rsid w:val="3B4619BE"/>
    <w:rsid w:val="3B654937"/>
    <w:rsid w:val="3B7C7FF3"/>
    <w:rsid w:val="3B8237CC"/>
    <w:rsid w:val="3B9B1808"/>
    <w:rsid w:val="3BB6772C"/>
    <w:rsid w:val="3C061E31"/>
    <w:rsid w:val="3C0E456C"/>
    <w:rsid w:val="3C1463C3"/>
    <w:rsid w:val="3C2C028D"/>
    <w:rsid w:val="3C2F2840"/>
    <w:rsid w:val="3C3D5A0C"/>
    <w:rsid w:val="3C4C074C"/>
    <w:rsid w:val="3C8C5428"/>
    <w:rsid w:val="3CC01EA1"/>
    <w:rsid w:val="3CC8634E"/>
    <w:rsid w:val="3D3F626A"/>
    <w:rsid w:val="3D4A37C3"/>
    <w:rsid w:val="3D595B76"/>
    <w:rsid w:val="3D8A5D30"/>
    <w:rsid w:val="3DB84AA9"/>
    <w:rsid w:val="3E35055F"/>
    <w:rsid w:val="3E3950E8"/>
    <w:rsid w:val="3E587026"/>
    <w:rsid w:val="3EBA7ED8"/>
    <w:rsid w:val="3EFC5CE2"/>
    <w:rsid w:val="3F042BEA"/>
    <w:rsid w:val="3F120F73"/>
    <w:rsid w:val="3F4407F1"/>
    <w:rsid w:val="3F713C52"/>
    <w:rsid w:val="3F8B34C6"/>
    <w:rsid w:val="3F961829"/>
    <w:rsid w:val="3FA07F4C"/>
    <w:rsid w:val="3FF97962"/>
    <w:rsid w:val="40133A8C"/>
    <w:rsid w:val="40594467"/>
    <w:rsid w:val="40723A9D"/>
    <w:rsid w:val="407E036F"/>
    <w:rsid w:val="407F3B46"/>
    <w:rsid w:val="40FD5F8C"/>
    <w:rsid w:val="412A1D04"/>
    <w:rsid w:val="41673072"/>
    <w:rsid w:val="41874A60"/>
    <w:rsid w:val="418B6304"/>
    <w:rsid w:val="41B12A42"/>
    <w:rsid w:val="41B153E0"/>
    <w:rsid w:val="41BE592A"/>
    <w:rsid w:val="41C677F1"/>
    <w:rsid w:val="421D4DC6"/>
    <w:rsid w:val="42207F18"/>
    <w:rsid w:val="4231433B"/>
    <w:rsid w:val="42321893"/>
    <w:rsid w:val="426254CD"/>
    <w:rsid w:val="42752F30"/>
    <w:rsid w:val="427E569F"/>
    <w:rsid w:val="42955390"/>
    <w:rsid w:val="42FF1B6E"/>
    <w:rsid w:val="431C17F1"/>
    <w:rsid w:val="433A3D54"/>
    <w:rsid w:val="43B6785F"/>
    <w:rsid w:val="43BA1EB5"/>
    <w:rsid w:val="43DB1093"/>
    <w:rsid w:val="440D188D"/>
    <w:rsid w:val="44676BC0"/>
    <w:rsid w:val="44A73D8E"/>
    <w:rsid w:val="44DD38D8"/>
    <w:rsid w:val="44F160CC"/>
    <w:rsid w:val="44F9202B"/>
    <w:rsid w:val="451514A7"/>
    <w:rsid w:val="4526024E"/>
    <w:rsid w:val="455E33FA"/>
    <w:rsid w:val="456E3985"/>
    <w:rsid w:val="459A10E5"/>
    <w:rsid w:val="45D93CF8"/>
    <w:rsid w:val="460F771A"/>
    <w:rsid w:val="461A2651"/>
    <w:rsid w:val="466F08B0"/>
    <w:rsid w:val="46772BC5"/>
    <w:rsid w:val="469B168B"/>
    <w:rsid w:val="472163F4"/>
    <w:rsid w:val="47227157"/>
    <w:rsid w:val="4723291F"/>
    <w:rsid w:val="472826CC"/>
    <w:rsid w:val="478B27FF"/>
    <w:rsid w:val="47953C4F"/>
    <w:rsid w:val="47A91CE6"/>
    <w:rsid w:val="47DB3428"/>
    <w:rsid w:val="47FB61A8"/>
    <w:rsid w:val="482308AF"/>
    <w:rsid w:val="48523C1D"/>
    <w:rsid w:val="48934C60"/>
    <w:rsid w:val="48A815AB"/>
    <w:rsid w:val="494B447F"/>
    <w:rsid w:val="496814C9"/>
    <w:rsid w:val="49A50326"/>
    <w:rsid w:val="49C45860"/>
    <w:rsid w:val="4A366249"/>
    <w:rsid w:val="4A3F38FC"/>
    <w:rsid w:val="4A962EE6"/>
    <w:rsid w:val="4AEB42B2"/>
    <w:rsid w:val="4AEF60A7"/>
    <w:rsid w:val="4AF12BA6"/>
    <w:rsid w:val="4B1F3F5B"/>
    <w:rsid w:val="4B2B572D"/>
    <w:rsid w:val="4B3F75D4"/>
    <w:rsid w:val="4B7C7600"/>
    <w:rsid w:val="4C65211D"/>
    <w:rsid w:val="4C771066"/>
    <w:rsid w:val="4C884529"/>
    <w:rsid w:val="4D061AD3"/>
    <w:rsid w:val="4DB82CCF"/>
    <w:rsid w:val="4DC0164E"/>
    <w:rsid w:val="4DC349EC"/>
    <w:rsid w:val="4DFA2A68"/>
    <w:rsid w:val="4E364EFC"/>
    <w:rsid w:val="4E3E0D43"/>
    <w:rsid w:val="4E9E0130"/>
    <w:rsid w:val="4EEB0F14"/>
    <w:rsid w:val="4F084D4E"/>
    <w:rsid w:val="4F135B85"/>
    <w:rsid w:val="4F227A85"/>
    <w:rsid w:val="4F4628B7"/>
    <w:rsid w:val="4F6A568A"/>
    <w:rsid w:val="4FB85473"/>
    <w:rsid w:val="4FC50DB9"/>
    <w:rsid w:val="4FDA440C"/>
    <w:rsid w:val="4FDD0059"/>
    <w:rsid w:val="4FEE65F2"/>
    <w:rsid w:val="50081462"/>
    <w:rsid w:val="50122C45"/>
    <w:rsid w:val="501B60F5"/>
    <w:rsid w:val="50575F45"/>
    <w:rsid w:val="50C5033F"/>
    <w:rsid w:val="51283B24"/>
    <w:rsid w:val="51442F76"/>
    <w:rsid w:val="516C54FE"/>
    <w:rsid w:val="51826DFB"/>
    <w:rsid w:val="51910235"/>
    <w:rsid w:val="51A73BE7"/>
    <w:rsid w:val="51C03715"/>
    <w:rsid w:val="51C427BF"/>
    <w:rsid w:val="51CE13BE"/>
    <w:rsid w:val="51EB2DE9"/>
    <w:rsid w:val="523F5BFE"/>
    <w:rsid w:val="5242791D"/>
    <w:rsid w:val="525B684B"/>
    <w:rsid w:val="52692974"/>
    <w:rsid w:val="52DE7C00"/>
    <w:rsid w:val="52E351A0"/>
    <w:rsid w:val="53006AB2"/>
    <w:rsid w:val="53342A5A"/>
    <w:rsid w:val="533B1971"/>
    <w:rsid w:val="53925AC2"/>
    <w:rsid w:val="53962265"/>
    <w:rsid w:val="53C22197"/>
    <w:rsid w:val="53D02A8A"/>
    <w:rsid w:val="53FC6F29"/>
    <w:rsid w:val="541A68BD"/>
    <w:rsid w:val="542547CB"/>
    <w:rsid w:val="545840B3"/>
    <w:rsid w:val="54734966"/>
    <w:rsid w:val="550659D2"/>
    <w:rsid w:val="55366A71"/>
    <w:rsid w:val="558C6691"/>
    <w:rsid w:val="55BE0C70"/>
    <w:rsid w:val="560B35B5"/>
    <w:rsid w:val="561C5B9D"/>
    <w:rsid w:val="5628758F"/>
    <w:rsid w:val="56333D52"/>
    <w:rsid w:val="56386FED"/>
    <w:rsid w:val="56625644"/>
    <w:rsid w:val="567346E0"/>
    <w:rsid w:val="56757A00"/>
    <w:rsid w:val="56814230"/>
    <w:rsid w:val="56A143BE"/>
    <w:rsid w:val="56ED12D7"/>
    <w:rsid w:val="570C5386"/>
    <w:rsid w:val="572F5526"/>
    <w:rsid w:val="578F4217"/>
    <w:rsid w:val="57A35F14"/>
    <w:rsid w:val="57A777B2"/>
    <w:rsid w:val="57CC546B"/>
    <w:rsid w:val="57D3745F"/>
    <w:rsid w:val="57F20D38"/>
    <w:rsid w:val="58005F43"/>
    <w:rsid w:val="58235F87"/>
    <w:rsid w:val="58463D0F"/>
    <w:rsid w:val="584C035A"/>
    <w:rsid w:val="58A577D6"/>
    <w:rsid w:val="58B33F35"/>
    <w:rsid w:val="58EA1E4D"/>
    <w:rsid w:val="58F77C9E"/>
    <w:rsid w:val="59017F65"/>
    <w:rsid w:val="59596CAE"/>
    <w:rsid w:val="596A6CE9"/>
    <w:rsid w:val="597E3727"/>
    <w:rsid w:val="59804AD3"/>
    <w:rsid w:val="598429A4"/>
    <w:rsid w:val="59B461B6"/>
    <w:rsid w:val="59C20450"/>
    <w:rsid w:val="59C43098"/>
    <w:rsid w:val="59C83FC9"/>
    <w:rsid w:val="59DF5554"/>
    <w:rsid w:val="59EA45D0"/>
    <w:rsid w:val="5A100767"/>
    <w:rsid w:val="5A1A268C"/>
    <w:rsid w:val="5A3858FA"/>
    <w:rsid w:val="5A8C4AE8"/>
    <w:rsid w:val="5ABD72ED"/>
    <w:rsid w:val="5ADB0886"/>
    <w:rsid w:val="5AE339C5"/>
    <w:rsid w:val="5AEC2ECA"/>
    <w:rsid w:val="5AFA6001"/>
    <w:rsid w:val="5B033ABB"/>
    <w:rsid w:val="5B206A70"/>
    <w:rsid w:val="5B656F38"/>
    <w:rsid w:val="5B86691B"/>
    <w:rsid w:val="5B9E71EA"/>
    <w:rsid w:val="5BB25666"/>
    <w:rsid w:val="5BD2087B"/>
    <w:rsid w:val="5BD319A0"/>
    <w:rsid w:val="5C243657"/>
    <w:rsid w:val="5C251645"/>
    <w:rsid w:val="5C537F09"/>
    <w:rsid w:val="5C6533F1"/>
    <w:rsid w:val="5C9F0B9B"/>
    <w:rsid w:val="5CB861DA"/>
    <w:rsid w:val="5CE7065A"/>
    <w:rsid w:val="5D1078AE"/>
    <w:rsid w:val="5D580A21"/>
    <w:rsid w:val="5D687E72"/>
    <w:rsid w:val="5D853E54"/>
    <w:rsid w:val="5DA12EF6"/>
    <w:rsid w:val="5DA428C4"/>
    <w:rsid w:val="5DB15044"/>
    <w:rsid w:val="5DD64553"/>
    <w:rsid w:val="5DEC4171"/>
    <w:rsid w:val="5DF43D0C"/>
    <w:rsid w:val="5E252980"/>
    <w:rsid w:val="5E2C4B13"/>
    <w:rsid w:val="5E6C3479"/>
    <w:rsid w:val="5E863B4E"/>
    <w:rsid w:val="5E942136"/>
    <w:rsid w:val="5EB153BA"/>
    <w:rsid w:val="5F465B03"/>
    <w:rsid w:val="602B4D64"/>
    <w:rsid w:val="604C0EF7"/>
    <w:rsid w:val="608A1A1F"/>
    <w:rsid w:val="60942B0F"/>
    <w:rsid w:val="60A567B7"/>
    <w:rsid w:val="612302FE"/>
    <w:rsid w:val="61307B57"/>
    <w:rsid w:val="61337059"/>
    <w:rsid w:val="6166248C"/>
    <w:rsid w:val="61692210"/>
    <w:rsid w:val="61C96577"/>
    <w:rsid w:val="620E26AC"/>
    <w:rsid w:val="620F47E8"/>
    <w:rsid w:val="62194F79"/>
    <w:rsid w:val="625B7201"/>
    <w:rsid w:val="62671A25"/>
    <w:rsid w:val="62891C56"/>
    <w:rsid w:val="628F67DE"/>
    <w:rsid w:val="62FB47EC"/>
    <w:rsid w:val="631657EC"/>
    <w:rsid w:val="631F6D97"/>
    <w:rsid w:val="6329551F"/>
    <w:rsid w:val="63A62ACD"/>
    <w:rsid w:val="640A4042"/>
    <w:rsid w:val="641937E6"/>
    <w:rsid w:val="64432611"/>
    <w:rsid w:val="64810F36"/>
    <w:rsid w:val="64947BB4"/>
    <w:rsid w:val="64A661A8"/>
    <w:rsid w:val="64BD5EB2"/>
    <w:rsid w:val="64F86E23"/>
    <w:rsid w:val="64FA3C91"/>
    <w:rsid w:val="65060673"/>
    <w:rsid w:val="65136487"/>
    <w:rsid w:val="65932035"/>
    <w:rsid w:val="65A76948"/>
    <w:rsid w:val="65B64428"/>
    <w:rsid w:val="65B677E6"/>
    <w:rsid w:val="65C9677F"/>
    <w:rsid w:val="65D47C5E"/>
    <w:rsid w:val="660D5738"/>
    <w:rsid w:val="660F6D5B"/>
    <w:rsid w:val="66124BA9"/>
    <w:rsid w:val="66134265"/>
    <w:rsid w:val="661D38F1"/>
    <w:rsid w:val="662B15AE"/>
    <w:rsid w:val="663453DF"/>
    <w:rsid w:val="663A5114"/>
    <w:rsid w:val="664218A5"/>
    <w:rsid w:val="6646463A"/>
    <w:rsid w:val="667A4407"/>
    <w:rsid w:val="66937EBB"/>
    <w:rsid w:val="66A875EC"/>
    <w:rsid w:val="66D103A8"/>
    <w:rsid w:val="67030EE4"/>
    <w:rsid w:val="67197C11"/>
    <w:rsid w:val="674A5F2F"/>
    <w:rsid w:val="67806025"/>
    <w:rsid w:val="67A535E2"/>
    <w:rsid w:val="67A61834"/>
    <w:rsid w:val="67A770D3"/>
    <w:rsid w:val="67BE52D5"/>
    <w:rsid w:val="67F9777D"/>
    <w:rsid w:val="6817003C"/>
    <w:rsid w:val="68224C33"/>
    <w:rsid w:val="68531098"/>
    <w:rsid w:val="68635B7B"/>
    <w:rsid w:val="6892632C"/>
    <w:rsid w:val="689661AC"/>
    <w:rsid w:val="68AB2876"/>
    <w:rsid w:val="68F46498"/>
    <w:rsid w:val="69090C1E"/>
    <w:rsid w:val="698C72B7"/>
    <w:rsid w:val="69B108F9"/>
    <w:rsid w:val="69C00663"/>
    <w:rsid w:val="69C7584A"/>
    <w:rsid w:val="6A013D24"/>
    <w:rsid w:val="6A5819A0"/>
    <w:rsid w:val="6A674B7F"/>
    <w:rsid w:val="6AB51D8E"/>
    <w:rsid w:val="6ACB4249"/>
    <w:rsid w:val="6ACD04A5"/>
    <w:rsid w:val="6AE80245"/>
    <w:rsid w:val="6B035697"/>
    <w:rsid w:val="6B2D5DC9"/>
    <w:rsid w:val="6B2F7D93"/>
    <w:rsid w:val="6B300EF8"/>
    <w:rsid w:val="6B5939A2"/>
    <w:rsid w:val="6BCB2498"/>
    <w:rsid w:val="6BD821D8"/>
    <w:rsid w:val="6BDD159D"/>
    <w:rsid w:val="6BF176D1"/>
    <w:rsid w:val="6C223454"/>
    <w:rsid w:val="6C3167E1"/>
    <w:rsid w:val="6C361416"/>
    <w:rsid w:val="6C3B3E2F"/>
    <w:rsid w:val="6C3D5024"/>
    <w:rsid w:val="6C4C0633"/>
    <w:rsid w:val="6C5A2BED"/>
    <w:rsid w:val="6C5C23DC"/>
    <w:rsid w:val="6C77554D"/>
    <w:rsid w:val="6C7D2E82"/>
    <w:rsid w:val="6CA62782"/>
    <w:rsid w:val="6D210761"/>
    <w:rsid w:val="6D5B50DE"/>
    <w:rsid w:val="6D641990"/>
    <w:rsid w:val="6D6D72DC"/>
    <w:rsid w:val="6D6F010C"/>
    <w:rsid w:val="6DFDE3BE"/>
    <w:rsid w:val="6E6344EE"/>
    <w:rsid w:val="6E825EF1"/>
    <w:rsid w:val="6EA211C1"/>
    <w:rsid w:val="6EC66FFE"/>
    <w:rsid w:val="6EF70A80"/>
    <w:rsid w:val="6F206B8A"/>
    <w:rsid w:val="6F5476B0"/>
    <w:rsid w:val="6F78548A"/>
    <w:rsid w:val="6F7E1D89"/>
    <w:rsid w:val="6F9E54E7"/>
    <w:rsid w:val="6FA36ACE"/>
    <w:rsid w:val="6FA94B34"/>
    <w:rsid w:val="6FAC2B64"/>
    <w:rsid w:val="6FE80510"/>
    <w:rsid w:val="6FE85E1F"/>
    <w:rsid w:val="6FF81E40"/>
    <w:rsid w:val="6FFD5D56"/>
    <w:rsid w:val="70201C8A"/>
    <w:rsid w:val="7038533E"/>
    <w:rsid w:val="70710447"/>
    <w:rsid w:val="70804EFB"/>
    <w:rsid w:val="70980188"/>
    <w:rsid w:val="70AA1CA3"/>
    <w:rsid w:val="70C2118B"/>
    <w:rsid w:val="70D86DF9"/>
    <w:rsid w:val="70E53244"/>
    <w:rsid w:val="710870BC"/>
    <w:rsid w:val="712F596B"/>
    <w:rsid w:val="715E0C15"/>
    <w:rsid w:val="71742717"/>
    <w:rsid w:val="717464FF"/>
    <w:rsid w:val="717B0A6A"/>
    <w:rsid w:val="718C5A4D"/>
    <w:rsid w:val="71B34792"/>
    <w:rsid w:val="71D84F69"/>
    <w:rsid w:val="723C5C51"/>
    <w:rsid w:val="72681691"/>
    <w:rsid w:val="72800ED4"/>
    <w:rsid w:val="72896F2C"/>
    <w:rsid w:val="72C902B7"/>
    <w:rsid w:val="72DF5BD6"/>
    <w:rsid w:val="72E82D1E"/>
    <w:rsid w:val="72EC33ED"/>
    <w:rsid w:val="72F474DF"/>
    <w:rsid w:val="73067B70"/>
    <w:rsid w:val="730D17BA"/>
    <w:rsid w:val="73142CD6"/>
    <w:rsid w:val="733502CD"/>
    <w:rsid w:val="734343DB"/>
    <w:rsid w:val="735D3658"/>
    <w:rsid w:val="73913434"/>
    <w:rsid w:val="739B32C2"/>
    <w:rsid w:val="73D921CC"/>
    <w:rsid w:val="73EA71DC"/>
    <w:rsid w:val="73F56649"/>
    <w:rsid w:val="7406465E"/>
    <w:rsid w:val="743F04FB"/>
    <w:rsid w:val="74455F31"/>
    <w:rsid w:val="74582108"/>
    <w:rsid w:val="7479207F"/>
    <w:rsid w:val="74BF515B"/>
    <w:rsid w:val="751614A0"/>
    <w:rsid w:val="753D173A"/>
    <w:rsid w:val="759E350B"/>
    <w:rsid w:val="75B45286"/>
    <w:rsid w:val="75B56BF7"/>
    <w:rsid w:val="75C33980"/>
    <w:rsid w:val="76103E06"/>
    <w:rsid w:val="76113A9E"/>
    <w:rsid w:val="761738FD"/>
    <w:rsid w:val="761829B0"/>
    <w:rsid w:val="762A70B6"/>
    <w:rsid w:val="762E65C5"/>
    <w:rsid w:val="763A28FD"/>
    <w:rsid w:val="76662190"/>
    <w:rsid w:val="767A5ABE"/>
    <w:rsid w:val="767B51AA"/>
    <w:rsid w:val="76B2020B"/>
    <w:rsid w:val="76B72589"/>
    <w:rsid w:val="76C5434F"/>
    <w:rsid w:val="76CC2397"/>
    <w:rsid w:val="76F9505E"/>
    <w:rsid w:val="76FC172C"/>
    <w:rsid w:val="77205F5A"/>
    <w:rsid w:val="774272F3"/>
    <w:rsid w:val="774626EC"/>
    <w:rsid w:val="77A97D67"/>
    <w:rsid w:val="77F07830"/>
    <w:rsid w:val="77FF2977"/>
    <w:rsid w:val="78000AED"/>
    <w:rsid w:val="782A6B49"/>
    <w:rsid w:val="782D2ACB"/>
    <w:rsid w:val="78853F6C"/>
    <w:rsid w:val="78A54E3F"/>
    <w:rsid w:val="78BD058C"/>
    <w:rsid w:val="78CB76BC"/>
    <w:rsid w:val="78D747B9"/>
    <w:rsid w:val="78EA5225"/>
    <w:rsid w:val="790424FD"/>
    <w:rsid w:val="791D56CF"/>
    <w:rsid w:val="793C4B18"/>
    <w:rsid w:val="796169A8"/>
    <w:rsid w:val="796F3009"/>
    <w:rsid w:val="797C35CC"/>
    <w:rsid w:val="79A50C04"/>
    <w:rsid w:val="79FB18D8"/>
    <w:rsid w:val="7A0F1355"/>
    <w:rsid w:val="7A5835DB"/>
    <w:rsid w:val="7A686A8F"/>
    <w:rsid w:val="7A8B501A"/>
    <w:rsid w:val="7AC663F6"/>
    <w:rsid w:val="7AE505F7"/>
    <w:rsid w:val="7AF84965"/>
    <w:rsid w:val="7B2E3BC3"/>
    <w:rsid w:val="7B301E94"/>
    <w:rsid w:val="7B616C65"/>
    <w:rsid w:val="7B8B59F4"/>
    <w:rsid w:val="7B9A0C8F"/>
    <w:rsid w:val="7BA021F1"/>
    <w:rsid w:val="7BA8008D"/>
    <w:rsid w:val="7BA94E53"/>
    <w:rsid w:val="7BCF048F"/>
    <w:rsid w:val="7BE03AF4"/>
    <w:rsid w:val="7C047953"/>
    <w:rsid w:val="7C0B4DE9"/>
    <w:rsid w:val="7C154449"/>
    <w:rsid w:val="7C1F4139"/>
    <w:rsid w:val="7C43747B"/>
    <w:rsid w:val="7C4A67DB"/>
    <w:rsid w:val="7C522772"/>
    <w:rsid w:val="7C6B04FF"/>
    <w:rsid w:val="7CAD3F03"/>
    <w:rsid w:val="7CC067ED"/>
    <w:rsid w:val="7D2C01F4"/>
    <w:rsid w:val="7D450988"/>
    <w:rsid w:val="7D6D296D"/>
    <w:rsid w:val="7D7B688B"/>
    <w:rsid w:val="7D943E1A"/>
    <w:rsid w:val="7DCA5ED3"/>
    <w:rsid w:val="7DD57DC1"/>
    <w:rsid w:val="7E310E83"/>
    <w:rsid w:val="7E411F3D"/>
    <w:rsid w:val="7E94486E"/>
    <w:rsid w:val="7E9F26E2"/>
    <w:rsid w:val="7EA61E53"/>
    <w:rsid w:val="7EB257D2"/>
    <w:rsid w:val="7EB74A6A"/>
    <w:rsid w:val="7ED87864"/>
    <w:rsid w:val="7EEE5BE3"/>
    <w:rsid w:val="7EF96296"/>
    <w:rsid w:val="7F4F263F"/>
    <w:rsid w:val="7FA13A80"/>
    <w:rsid w:val="7FDB2A42"/>
    <w:rsid w:val="7FF52F0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qFormat="1" w:unhideWhenUsed="0" w:uiPriority="0" w:semiHidden="0" w:name="envelope return"/>
    <w:lsdException w:uiPriority="0" w:name="footnote reference"/>
    <w:lsdException w:qFormat="1"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line="578" w:lineRule="auto"/>
      <w:outlineLvl w:val="0"/>
    </w:pPr>
    <w:rPr>
      <w:rFonts w:eastAsia="华文中宋"/>
      <w:b/>
      <w:bCs/>
      <w:kern w:val="44"/>
      <w:sz w:val="32"/>
      <w:szCs w:val="44"/>
    </w:rPr>
  </w:style>
  <w:style w:type="paragraph" w:styleId="4">
    <w:name w:val="heading 2"/>
    <w:basedOn w:val="1"/>
    <w:next w:val="1"/>
    <w:qFormat/>
    <w:uiPriority w:val="0"/>
    <w:pPr>
      <w:keepNext/>
      <w:keepLines/>
      <w:spacing w:line="416" w:lineRule="auto"/>
      <w:outlineLvl w:val="1"/>
    </w:pPr>
    <w:rPr>
      <w:rFonts w:hint="eastAsia" w:ascii="Arial" w:hAnsi="Arial" w:eastAsia="黑体"/>
      <w:b/>
      <w:bCs/>
      <w:sz w:val="32"/>
      <w:szCs w:val="32"/>
    </w:rPr>
  </w:style>
  <w:style w:type="paragraph" w:styleId="5">
    <w:name w:val="heading 3"/>
    <w:basedOn w:val="1"/>
    <w:next w:val="1"/>
    <w:qFormat/>
    <w:uiPriority w:val="0"/>
    <w:pPr>
      <w:keepNext/>
      <w:keepLines/>
      <w:spacing w:line="416" w:lineRule="auto"/>
      <w:outlineLvl w:val="2"/>
    </w:pPr>
    <w:rPr>
      <w:b/>
      <w:bCs/>
      <w:sz w:val="32"/>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cs="Times New Roman"/>
      <w:b/>
      <w:bCs/>
      <w:sz w:val="28"/>
      <w:szCs w:val="28"/>
    </w:rPr>
  </w:style>
  <w:style w:type="character" w:default="1" w:styleId="24">
    <w:name w:val="Default Paragraph Font"/>
    <w:unhideWhenUsed/>
    <w:qFormat/>
    <w:uiPriority w:val="1"/>
  </w:style>
  <w:style w:type="table" w:default="1" w:styleId="22">
    <w:name w:val="Normal Table"/>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style>
  <w:style w:type="paragraph" w:styleId="7">
    <w:name w:val="annotation text"/>
    <w:basedOn w:val="1"/>
    <w:qFormat/>
    <w:uiPriority w:val="0"/>
    <w:pPr>
      <w:jc w:val="left"/>
    </w:pPr>
  </w:style>
  <w:style w:type="paragraph" w:styleId="8">
    <w:name w:val="Body Text 3"/>
    <w:basedOn w:val="1"/>
    <w:qFormat/>
    <w:uiPriority w:val="0"/>
    <w:pPr>
      <w:spacing w:line="80" w:lineRule="atLeast"/>
    </w:pPr>
    <w:rPr>
      <w:rFonts w:ascii="楷体_GB2312" w:eastAsia="楷体_GB2312"/>
      <w:sz w:val="28"/>
    </w:rPr>
  </w:style>
  <w:style w:type="paragraph" w:styleId="9">
    <w:name w:val="Body Text"/>
    <w:basedOn w:val="1"/>
    <w:next w:val="1"/>
    <w:qFormat/>
    <w:uiPriority w:val="0"/>
    <w:rPr>
      <w:rFonts w:eastAsia="楷体_GB2312"/>
      <w:sz w:val="30"/>
      <w:szCs w:val="20"/>
    </w:rPr>
  </w:style>
  <w:style w:type="paragraph" w:styleId="10">
    <w:name w:val="Body Text Indent"/>
    <w:basedOn w:val="1"/>
    <w:next w:val="1"/>
    <w:qFormat/>
    <w:uiPriority w:val="0"/>
    <w:pPr>
      <w:ind w:firstLine="540"/>
    </w:pPr>
    <w:rPr>
      <w:rFonts w:eastAsia="楷体_GB2312"/>
      <w:sz w:val="30"/>
      <w:szCs w:val="20"/>
    </w:rPr>
  </w:style>
  <w:style w:type="paragraph" w:styleId="11">
    <w:name w:val="Plain Text"/>
    <w:basedOn w:val="1"/>
    <w:qFormat/>
    <w:uiPriority w:val="0"/>
    <w:rPr>
      <w:rFonts w:hint="eastAsia" w:ascii="宋体" w:hAnsi="Courier New"/>
      <w:szCs w:val="20"/>
    </w:rPr>
  </w:style>
  <w:style w:type="paragraph" w:styleId="12">
    <w:name w:val="Date"/>
    <w:basedOn w:val="1"/>
    <w:next w:val="1"/>
    <w:qFormat/>
    <w:uiPriority w:val="0"/>
    <w:rPr>
      <w:sz w:val="24"/>
      <w:szCs w:val="20"/>
    </w:rPr>
  </w:style>
  <w:style w:type="paragraph" w:styleId="13">
    <w:name w:val="Balloon Text"/>
    <w:basedOn w:val="1"/>
    <w:link w:val="35"/>
    <w:qFormat/>
    <w:uiPriority w:val="0"/>
    <w:rPr>
      <w:sz w:val="18"/>
      <w:szCs w:val="18"/>
    </w:rPr>
  </w:style>
  <w:style w:type="paragraph" w:styleId="14">
    <w:name w:val="footer"/>
    <w:basedOn w:val="1"/>
    <w:next w:val="1"/>
    <w:qFormat/>
    <w:uiPriority w:val="0"/>
    <w:pPr>
      <w:tabs>
        <w:tab w:val="center" w:pos="4153"/>
        <w:tab w:val="right" w:pos="8306"/>
      </w:tabs>
      <w:snapToGrid w:val="0"/>
      <w:jc w:val="left"/>
    </w:pPr>
    <w:rPr>
      <w:rFonts w:hint="eastAsia"/>
      <w:sz w:val="18"/>
      <w:szCs w:val="18"/>
    </w:rPr>
  </w:style>
  <w:style w:type="paragraph" w:styleId="15">
    <w:name w:val="envelope return"/>
    <w:basedOn w:val="1"/>
    <w:qFormat/>
    <w:uiPriority w:val="0"/>
    <w:pPr>
      <w:snapToGrid w:val="0"/>
    </w:pPr>
    <w:rPr>
      <w:rFonts w:ascii="Arial" w:hAnsi="Arial"/>
    </w:rPr>
  </w:style>
  <w:style w:type="paragraph" w:styleId="16">
    <w:name w:val="header"/>
    <w:basedOn w:val="1"/>
    <w:qFormat/>
    <w:uiPriority w:val="0"/>
    <w:pPr>
      <w:pBdr>
        <w:bottom w:val="single" w:color="auto" w:sz="6" w:space="1"/>
      </w:pBdr>
      <w:tabs>
        <w:tab w:val="center" w:pos="4153"/>
        <w:tab w:val="right" w:pos="8306"/>
      </w:tabs>
      <w:snapToGrid w:val="0"/>
      <w:jc w:val="center"/>
    </w:pPr>
    <w:rPr>
      <w:rFonts w:hint="eastAsia"/>
      <w:sz w:val="18"/>
      <w:szCs w:val="18"/>
    </w:rPr>
  </w:style>
  <w:style w:type="paragraph" w:styleId="17">
    <w:name w:val="toc 1"/>
    <w:basedOn w:val="1"/>
    <w:next w:val="1"/>
    <w:qFormat/>
    <w:uiPriority w:val="0"/>
    <w:pPr>
      <w:spacing w:line="360" w:lineRule="exact"/>
    </w:pPr>
    <w:rPr>
      <w:rFonts w:ascii="仿宋_GB2312" w:hAnsi="宋体" w:eastAsia="仿宋_GB2312"/>
      <w:b/>
      <w:bCs/>
      <w:sz w:val="28"/>
      <w:szCs w:val="28"/>
    </w:rPr>
  </w:style>
  <w:style w:type="paragraph" w:styleId="18">
    <w:name w:val="Body Text 2"/>
    <w:basedOn w:val="1"/>
    <w:qFormat/>
    <w:uiPriority w:val="0"/>
    <w:pPr>
      <w:spacing w:after="120" w:line="480" w:lineRule="auto"/>
    </w:pPr>
    <w:rPr>
      <w:rFonts w:eastAsia="MS Gothic"/>
    </w:rPr>
  </w:style>
  <w:style w:type="paragraph" w:styleId="19">
    <w:name w:val="Normal (Web)"/>
    <w:basedOn w:val="1"/>
    <w:qFormat/>
    <w:uiPriority w:val="0"/>
    <w:pPr>
      <w:widowControl/>
      <w:spacing w:beforeAutospacing="1" w:afterAutospacing="1"/>
      <w:jc w:val="left"/>
    </w:pPr>
    <w:rPr>
      <w:rFonts w:ascii="宋体" w:hAnsi="宋体" w:cs="宋体"/>
      <w:kern w:val="0"/>
      <w:sz w:val="24"/>
    </w:rPr>
  </w:style>
  <w:style w:type="paragraph" w:styleId="20">
    <w:name w:val="Body Text First Indent"/>
    <w:basedOn w:val="9"/>
    <w:next w:val="1"/>
    <w:qFormat/>
    <w:uiPriority w:val="0"/>
    <w:pPr>
      <w:ind w:firstLine="420" w:firstLineChars="100"/>
    </w:pPr>
    <w:rPr>
      <w:rFonts w:eastAsia="宋体"/>
      <w:sz w:val="21"/>
      <w:szCs w:val="24"/>
    </w:rPr>
  </w:style>
  <w:style w:type="paragraph" w:styleId="21">
    <w:name w:val="Body Text First Indent 2"/>
    <w:basedOn w:val="10"/>
    <w:qFormat/>
    <w:uiPriority w:val="0"/>
    <w:pPr>
      <w:ind w:firstLine="420" w:firstLineChars="200"/>
    </w:pPr>
  </w:style>
  <w:style w:type="table" w:styleId="23">
    <w:name w:val="Table Grid"/>
    <w:basedOn w:val="22"/>
    <w:qFormat/>
    <w:uiPriority w:val="39"/>
    <w:rPr>
      <w:rFonts w:ascii="Calibri" w:hAnsi="Calibri" w:eastAsia="宋体"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0"/>
  </w:style>
  <w:style w:type="character" w:styleId="26">
    <w:name w:val="page number"/>
    <w:basedOn w:val="24"/>
    <w:qFormat/>
    <w:uiPriority w:val="0"/>
  </w:style>
  <w:style w:type="character" w:styleId="27">
    <w:name w:val="Emphasis"/>
    <w:basedOn w:val="24"/>
    <w:qFormat/>
    <w:uiPriority w:val="0"/>
    <w:rPr>
      <w:i/>
    </w:rPr>
  </w:style>
  <w:style w:type="character" w:styleId="28">
    <w:name w:val="annotation reference"/>
    <w:basedOn w:val="24"/>
    <w:unhideWhenUsed/>
    <w:qFormat/>
    <w:uiPriority w:val="0"/>
    <w:rPr>
      <w:sz w:val="21"/>
      <w:szCs w:val="21"/>
    </w:rPr>
  </w:style>
  <w:style w:type="paragraph" w:customStyle="1" w:styleId="29">
    <w:name w:val="Default"/>
    <w:next w:val="12"/>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 w:type="paragraph" w:customStyle="1" w:styleId="30">
    <w:name w:val="_Style 3"/>
    <w:qFormat/>
    <w:uiPriority w:val="1"/>
    <w:pPr>
      <w:widowControl w:val="0"/>
      <w:jc w:val="both"/>
    </w:pPr>
    <w:rPr>
      <w:rFonts w:ascii="Calibri" w:hAnsi="Calibri" w:eastAsia="宋体" w:cs="Times New Roman"/>
      <w:kern w:val="2"/>
      <w:sz w:val="21"/>
      <w:szCs w:val="22"/>
      <w:lang w:val="en-US" w:eastAsia="zh-CN" w:bidi="ar-SA"/>
    </w:rPr>
  </w:style>
  <w:style w:type="paragraph" w:customStyle="1" w:styleId="31">
    <w:name w:val="List Paragraph"/>
    <w:basedOn w:val="1"/>
    <w:qFormat/>
    <w:uiPriority w:val="34"/>
    <w:pPr>
      <w:ind w:firstLine="420" w:firstLineChars="200"/>
    </w:pPr>
    <w:rPr>
      <w:szCs w:val="22"/>
    </w:rPr>
  </w:style>
  <w:style w:type="paragraph" w:customStyle="1" w:styleId="32">
    <w:name w:val="正文1"/>
    <w:qFormat/>
    <w:uiPriority w:val="0"/>
    <w:pPr>
      <w:jc w:val="both"/>
    </w:pPr>
    <w:rPr>
      <w:rFonts w:ascii="Calibri" w:hAnsi="Calibri" w:eastAsia="宋体" w:cs="宋体"/>
      <w:kern w:val="2"/>
      <w:sz w:val="21"/>
      <w:szCs w:val="21"/>
      <w:lang w:val="en-US" w:eastAsia="zh-CN" w:bidi="ar-SA"/>
    </w:rPr>
  </w:style>
  <w:style w:type="paragraph" w:customStyle="1" w:styleId="33">
    <w:name w:val="正文（首行缩进）"/>
    <w:basedOn w:val="1"/>
    <w:qFormat/>
    <w:uiPriority w:val="0"/>
    <w:pPr>
      <w:spacing w:line="360" w:lineRule="auto"/>
      <w:ind w:firstLine="200" w:firstLineChars="200"/>
    </w:pPr>
  </w:style>
  <w:style w:type="character" w:customStyle="1" w:styleId="34">
    <w:name w:val="sugg-loading"/>
    <w:basedOn w:val="24"/>
    <w:qFormat/>
    <w:uiPriority w:val="0"/>
  </w:style>
  <w:style w:type="character" w:customStyle="1" w:styleId="35">
    <w:name w:val="批注框文本 Char"/>
    <w:basedOn w:val="24"/>
    <w:link w:val="13"/>
    <w:qFormat/>
    <w:uiPriority w:val="0"/>
    <w:rPr>
      <w:kern w:val="2"/>
      <w:sz w:val="18"/>
      <w:szCs w:val="18"/>
    </w:rPr>
  </w:style>
  <w:style w:type="paragraph" w:customStyle="1" w:styleId="36">
    <w:name w:val="Normal_718"/>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37">
    <w:name w:val="列出段落1"/>
    <w:basedOn w:val="36"/>
    <w:qFormat/>
    <w:uiPriority w:val="34"/>
    <w:pPr>
      <w:ind w:firstLine="420" w:firstLineChars="200"/>
    </w:pPr>
    <w:rPr>
      <w:rFonts w:ascii="Calibri" w:hAnsi="Calibri"/>
      <w:szCs w:val="22"/>
    </w:rPr>
  </w:style>
  <w:style w:type="character" w:customStyle="1" w:styleId="38">
    <w:name w:val="NormalCharacter"/>
    <w:qFormat/>
    <w:uiPriority w:val="0"/>
    <w:rPr>
      <w:rFonts w:ascii="Calibri" w:hAnsi="Calibri"/>
      <w:kern w:val="2"/>
      <w:sz w:val="21"/>
      <w:szCs w:val="24"/>
      <w:lang w:val="en-US" w:eastAsia="zh-CN" w:bidi="ar-SA"/>
    </w:rPr>
  </w:style>
  <w:style w:type="paragraph" w:customStyle="1" w:styleId="39">
    <w:name w:val="List2"/>
    <w:basedOn w:val="1"/>
    <w:qFormat/>
    <w:uiPriority w:val="0"/>
    <w:pPr>
      <w:ind w:left="100" w:leftChars="200" w:hanging="200" w:hangingChars="200"/>
      <w:contextualSpacing/>
      <w:textAlignment w:val="baseline"/>
    </w:pPr>
  </w:style>
  <w:style w:type="paragraph" w:customStyle="1" w:styleId="40">
    <w:name w:val="Body text|1"/>
    <w:basedOn w:val="1"/>
    <w:qFormat/>
    <w:uiPriority w:val="99"/>
    <w:pPr>
      <w:spacing w:line="391" w:lineRule="auto"/>
    </w:pPr>
    <w:rPr>
      <w:rFonts w:ascii="宋体" w:hAnsi="宋体" w:cs="宋体"/>
      <w:sz w:val="26"/>
      <w:szCs w:val="26"/>
    </w:rPr>
  </w:style>
  <w:style w:type="character" w:customStyle="1" w:styleId="41">
    <w:name w:val="font51"/>
    <w:qFormat/>
    <w:uiPriority w:val="99"/>
    <w:rPr>
      <w:rFonts w:ascii="宋体" w:hAnsi="宋体" w:eastAsia="宋体"/>
      <w:color w:val="000000"/>
      <w:sz w:val="22"/>
      <w:u w:val="none"/>
    </w:rPr>
  </w:style>
  <w:style w:type="paragraph" w:customStyle="1" w:styleId="42">
    <w:name w:val="WPSOffice手动目录 1"/>
    <w:qFormat/>
    <w:uiPriority w:val="0"/>
    <w:pPr>
      <w:ind w:leftChars="0"/>
    </w:pPr>
    <w:rPr>
      <w:rFonts w:ascii="Times New Roman" w:hAnsi="Times New Roman" w:eastAsia="宋体" w:cs="Times New Roman"/>
      <w:sz w:val="20"/>
      <w:szCs w:val="20"/>
    </w:rPr>
  </w:style>
  <w:style w:type="character" w:customStyle="1" w:styleId="43">
    <w:name w:val="font11"/>
    <w:basedOn w:val="24"/>
    <w:qFormat/>
    <w:uiPriority w:val="0"/>
    <w:rPr>
      <w:rFonts w:hint="eastAsia" w:ascii="宋体" w:hAnsi="宋体" w:eastAsia="宋体" w:cs="宋体"/>
      <w:b/>
      <w:bCs/>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55</Pages>
  <Words>34429</Words>
  <Characters>36727</Characters>
  <Lines>179</Lines>
  <Paragraphs>50</Paragraphs>
  <TotalTime>0</TotalTime>
  <ScaleCrop>false</ScaleCrop>
  <LinksUpToDate>false</LinksUpToDate>
  <CharactersWithSpaces>38120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2020-09-30T21:46:00Z</dcterms:created>
  <dc:creator>zhihang</dc:creator>
  <cp:lastModifiedBy>111</cp:lastModifiedBy>
  <dcterms:modified xsi:type="dcterms:W3CDTF">2024-01-03T09:50:25Z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0B2EE3251A5C494692E089641C694E14</vt:lpwstr>
  </property>
</Properties>
</file>